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A0" w:rsidRPr="002041C2" w:rsidRDefault="00DA7AAD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1C2">
        <w:rPr>
          <w:rFonts w:ascii="Arial" w:hAnsi="Arial" w:cs="Arial"/>
          <w:i/>
          <w:sz w:val="24"/>
          <w:szCs w:val="24"/>
        </w:rPr>
        <w:t>Tabla 1.</w:t>
      </w:r>
      <w:r w:rsidRPr="002041C2">
        <w:rPr>
          <w:rFonts w:ascii="Arial" w:hAnsi="Arial" w:cs="Arial"/>
          <w:b/>
          <w:sz w:val="24"/>
          <w:szCs w:val="24"/>
        </w:rPr>
        <w:t xml:space="preserve"> </w:t>
      </w:r>
      <w:r w:rsidRPr="002041C2">
        <w:rPr>
          <w:rFonts w:ascii="Arial" w:hAnsi="Arial" w:cs="Arial"/>
          <w:sz w:val="24"/>
          <w:szCs w:val="24"/>
        </w:rPr>
        <w:t xml:space="preserve">Guía para la </w:t>
      </w:r>
      <w:proofErr w:type="spellStart"/>
      <w:r w:rsidRPr="002041C2">
        <w:rPr>
          <w:rFonts w:ascii="Arial" w:hAnsi="Arial" w:cs="Arial"/>
          <w:sz w:val="24"/>
          <w:szCs w:val="24"/>
        </w:rPr>
        <w:t>depositación</w:t>
      </w:r>
      <w:proofErr w:type="spellEnd"/>
      <w:r w:rsidRPr="002041C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41C2">
        <w:rPr>
          <w:rFonts w:ascii="Arial" w:hAnsi="Arial" w:cs="Arial"/>
          <w:i/>
          <w:sz w:val="24"/>
          <w:szCs w:val="24"/>
        </w:rPr>
        <w:t>Buenoa</w:t>
      </w:r>
      <w:proofErr w:type="spellEnd"/>
      <w:r w:rsidRPr="002041C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1740"/>
      </w:tblGrid>
      <w:tr w:rsidR="00583EA0" w:rsidRPr="002041C2" w:rsidTr="007A361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pStyle w:val="Ttulo1"/>
              <w:framePr w:wrap="around"/>
              <w:spacing w:before="0" w:after="0"/>
              <w:rPr>
                <w:rFonts w:ascii="Arial" w:hAnsi="Arial" w:cs="Arial"/>
                <w:b w:val="0"/>
              </w:rPr>
            </w:pPr>
            <w:r w:rsidRPr="002041C2">
              <w:rPr>
                <w:rFonts w:ascii="Arial" w:hAnsi="Arial" w:cs="Arial"/>
                <w:b w:val="0"/>
              </w:rPr>
              <w:t>Nº de larvas en el tanque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 xml:space="preserve">Nº de </w:t>
            </w:r>
            <w:proofErr w:type="spellStart"/>
            <w:r w:rsidRPr="002041C2">
              <w:rPr>
                <w:rFonts w:ascii="Arial" w:hAnsi="Arial" w:cs="Arial"/>
                <w:i/>
                <w:sz w:val="24"/>
                <w:szCs w:val="24"/>
              </w:rPr>
              <w:t>Buenoa</w:t>
            </w:r>
            <w:proofErr w:type="spellEnd"/>
            <w:r w:rsidRPr="002041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3EA0" w:rsidRPr="002041C2" w:rsidTr="007A3613">
        <w:tc>
          <w:tcPr>
            <w:tcW w:w="1560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5-15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16-25</w:t>
            </w:r>
          </w:p>
        </w:tc>
        <w:tc>
          <w:tcPr>
            <w:tcW w:w="174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26-35</w:t>
            </w:r>
          </w:p>
        </w:tc>
        <w:tc>
          <w:tcPr>
            <w:tcW w:w="174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36-50</w:t>
            </w:r>
          </w:p>
        </w:tc>
        <w:tc>
          <w:tcPr>
            <w:tcW w:w="174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&gt; 50</w:t>
            </w:r>
          </w:p>
        </w:tc>
        <w:tc>
          <w:tcPr>
            <w:tcW w:w="1740" w:type="dxa"/>
          </w:tcPr>
          <w:p w:rsidR="00583EA0" w:rsidRPr="002041C2" w:rsidRDefault="00583EA0" w:rsidP="007A3613">
            <w:pPr>
              <w:framePr w:hSpace="141" w:wrap="around" w:vAnchor="text" w:hAnchor="text" w:x="70" w:y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1C2">
        <w:rPr>
          <w:rFonts w:ascii="Arial" w:hAnsi="Arial" w:cs="Arial"/>
          <w:sz w:val="24"/>
          <w:szCs w:val="24"/>
        </w:rPr>
        <w:t>;</w:t>
      </w: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583EA0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EA0" w:rsidRPr="002041C2" w:rsidRDefault="00DA7AAD" w:rsidP="00583E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41C2">
        <w:rPr>
          <w:rFonts w:ascii="Arial" w:hAnsi="Arial" w:cs="Arial"/>
          <w:i/>
          <w:sz w:val="24"/>
          <w:szCs w:val="24"/>
        </w:rPr>
        <w:t>Tabla 2.</w:t>
      </w:r>
      <w:r w:rsidRPr="002041C2">
        <w:rPr>
          <w:rFonts w:ascii="Arial" w:hAnsi="Arial" w:cs="Arial"/>
          <w:b/>
          <w:sz w:val="24"/>
          <w:szCs w:val="24"/>
        </w:rPr>
        <w:t xml:space="preserve"> </w:t>
      </w:r>
      <w:r w:rsidRPr="002041C2">
        <w:rPr>
          <w:rFonts w:ascii="Arial" w:hAnsi="Arial" w:cs="Arial"/>
          <w:sz w:val="24"/>
          <w:szCs w:val="24"/>
        </w:rPr>
        <w:t xml:space="preserve">Guía para la </w:t>
      </w:r>
      <w:proofErr w:type="spellStart"/>
      <w:r w:rsidRPr="002041C2">
        <w:rPr>
          <w:rFonts w:ascii="Arial" w:hAnsi="Arial" w:cs="Arial"/>
          <w:sz w:val="24"/>
          <w:szCs w:val="24"/>
        </w:rPr>
        <w:t>depositación</w:t>
      </w:r>
      <w:proofErr w:type="spellEnd"/>
      <w:r w:rsidRPr="002041C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41C2">
        <w:rPr>
          <w:rFonts w:ascii="Arial" w:hAnsi="Arial" w:cs="Arial"/>
          <w:i/>
          <w:sz w:val="24"/>
          <w:szCs w:val="24"/>
        </w:rPr>
        <w:t>Notonecta</w:t>
      </w:r>
      <w:proofErr w:type="spellEnd"/>
      <w:r w:rsidRPr="002041C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2219"/>
      </w:tblGrid>
      <w:tr w:rsidR="00583EA0" w:rsidRPr="002041C2" w:rsidTr="007A361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Nº de larvas  en el tanque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 xml:space="preserve">Nº de </w:t>
            </w:r>
            <w:proofErr w:type="spellStart"/>
            <w:r w:rsidRPr="002041C2">
              <w:rPr>
                <w:rFonts w:ascii="Arial" w:hAnsi="Arial" w:cs="Arial"/>
                <w:i/>
                <w:sz w:val="24"/>
                <w:szCs w:val="24"/>
              </w:rPr>
              <w:t>Notonecta</w:t>
            </w:r>
            <w:proofErr w:type="spellEnd"/>
            <w:r w:rsidRPr="002041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3EA0" w:rsidRPr="002041C2" w:rsidTr="007A3613">
        <w:tc>
          <w:tcPr>
            <w:tcW w:w="1560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5-25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26-50</w:t>
            </w:r>
          </w:p>
        </w:tc>
        <w:tc>
          <w:tcPr>
            <w:tcW w:w="2219" w:type="dxa"/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83EA0" w:rsidRPr="002041C2" w:rsidTr="007A3613">
        <w:tc>
          <w:tcPr>
            <w:tcW w:w="1560" w:type="dxa"/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51-100</w:t>
            </w:r>
          </w:p>
        </w:tc>
        <w:tc>
          <w:tcPr>
            <w:tcW w:w="2219" w:type="dxa"/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83EA0" w:rsidRPr="002041C2" w:rsidTr="007A3613">
        <w:tc>
          <w:tcPr>
            <w:tcW w:w="1560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&gt; 100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</w:rPr>
      </w:pPr>
    </w:p>
    <w:p w:rsidR="00583EA0" w:rsidRPr="002041C2" w:rsidRDefault="00DA7AAD" w:rsidP="00583EA0">
      <w:pPr>
        <w:pStyle w:val="Textoindependiente2"/>
        <w:spacing w:line="240" w:lineRule="auto"/>
        <w:rPr>
          <w:rFonts w:ascii="Arial" w:hAnsi="Arial" w:cs="Arial"/>
          <w:i/>
        </w:rPr>
      </w:pPr>
      <w:r w:rsidRPr="002041C2">
        <w:rPr>
          <w:rFonts w:ascii="Arial" w:hAnsi="Arial" w:cs="Arial"/>
          <w:i/>
        </w:rPr>
        <w:t>Tabla 3.</w:t>
      </w:r>
      <w:r w:rsidR="00D56CD4" w:rsidRPr="002041C2">
        <w:rPr>
          <w:rFonts w:ascii="Arial" w:hAnsi="Arial" w:cs="Arial"/>
          <w:i/>
        </w:rPr>
        <w:t xml:space="preserve"> </w:t>
      </w:r>
      <w:r w:rsidR="00D56CD4" w:rsidRPr="002041C2">
        <w:rPr>
          <w:rFonts w:ascii="Arial" w:hAnsi="Arial" w:cs="Arial"/>
        </w:rPr>
        <w:t>Tabulación de encuestas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16"/>
        <w:gridCol w:w="2129"/>
        <w:gridCol w:w="2396"/>
        <w:gridCol w:w="1354"/>
      </w:tblGrid>
      <w:tr w:rsidR="00583EA0" w:rsidRPr="002041C2" w:rsidTr="007A3613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Pregunta #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Conocimiento antes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Conocimiento después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Diferencia</w:t>
            </w:r>
          </w:p>
        </w:tc>
      </w:tr>
      <w:tr w:rsidR="00583EA0" w:rsidRPr="002041C2" w:rsidTr="007A3613">
        <w:tc>
          <w:tcPr>
            <w:tcW w:w="1616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18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18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12</w:t>
            </w:r>
          </w:p>
        </w:tc>
      </w:tr>
      <w:tr w:rsidR="00583EA0" w:rsidRPr="002041C2" w:rsidTr="007A3613">
        <w:tc>
          <w:tcPr>
            <w:tcW w:w="161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2129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2396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1354" w:type="dxa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</w:t>
            </w:r>
          </w:p>
        </w:tc>
      </w:tr>
      <w:tr w:rsidR="00583EA0" w:rsidRPr="002041C2" w:rsidTr="007A3613">
        <w:tc>
          <w:tcPr>
            <w:tcW w:w="1616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</w:t>
            </w:r>
          </w:p>
        </w:tc>
      </w:tr>
    </w:tbl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</w:rPr>
      </w:pPr>
    </w:p>
    <w:p w:rsidR="00D56CD4" w:rsidRPr="002041C2" w:rsidRDefault="00D56CD4" w:rsidP="00DA7AAD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56CD4" w:rsidRPr="002041C2" w:rsidRDefault="00D56CD4" w:rsidP="00DA7AAD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56CD4" w:rsidRPr="002041C2" w:rsidRDefault="00D56CD4" w:rsidP="00DA7AAD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56CD4" w:rsidRPr="002041C2" w:rsidRDefault="00D56CD4" w:rsidP="00DA7AAD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56CD4" w:rsidRPr="002041C2" w:rsidRDefault="00DA7AAD" w:rsidP="00583EA0">
      <w:pPr>
        <w:pStyle w:val="Textoindependiente2"/>
        <w:spacing w:line="240" w:lineRule="auto"/>
        <w:rPr>
          <w:rFonts w:ascii="Arial" w:hAnsi="Arial" w:cs="Arial"/>
        </w:rPr>
      </w:pPr>
      <w:r w:rsidRPr="002041C2">
        <w:rPr>
          <w:rFonts w:ascii="Arial" w:hAnsi="Arial" w:cs="Arial"/>
          <w:i/>
        </w:rPr>
        <w:t>Tabla 4.</w:t>
      </w:r>
      <w:r w:rsidR="00D56CD4" w:rsidRPr="002041C2">
        <w:rPr>
          <w:b/>
        </w:rPr>
        <w:t xml:space="preserve"> </w:t>
      </w:r>
      <w:r w:rsidR="00D56CD4" w:rsidRPr="002041C2">
        <w:rPr>
          <w:rFonts w:ascii="Arial" w:hAnsi="Arial" w:cs="Arial"/>
        </w:rPr>
        <w:t xml:space="preserve">Densidades larvarias pre y </w:t>
      </w:r>
      <w:proofErr w:type="spellStart"/>
      <w:r w:rsidR="00D56CD4" w:rsidRPr="002041C2">
        <w:rPr>
          <w:rFonts w:ascii="Arial" w:hAnsi="Arial" w:cs="Arial"/>
        </w:rPr>
        <w:t>postratamiento</w:t>
      </w:r>
      <w:proofErr w:type="spellEnd"/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2217"/>
        <w:gridCol w:w="2250"/>
      </w:tblGrid>
      <w:tr w:rsidR="00583EA0" w:rsidRPr="002041C2" w:rsidTr="007A3613">
        <w:trPr>
          <w:trHeight w:val="765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EA0" w:rsidRPr="002041C2" w:rsidRDefault="00C05C72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Vivienda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EA0" w:rsidRPr="002041C2" w:rsidRDefault="00C05C72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Densidad </w:t>
            </w:r>
            <w:proofErr w:type="spellStart"/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pretratamiento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EA0" w:rsidRPr="002041C2" w:rsidRDefault="00C05C72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Densidad </w:t>
            </w:r>
            <w:proofErr w:type="spellStart"/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postratamiento</w:t>
            </w:r>
            <w:proofErr w:type="spellEnd"/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88000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220,5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10,6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87450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632,5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102000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156,0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102100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1278,8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70,1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20850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339,2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31000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647,6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28000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2141,1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50,8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36000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376,8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32000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1397,5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55900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1807,4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108,6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125200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292,0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47,1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130000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1088,8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135700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1283,9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171,5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131700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389,7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  <w:bookmarkStart w:id="0" w:name="_GoBack"/>
        <w:bookmarkEnd w:id="0"/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74400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2449,9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126,3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94000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362,2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79050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423,2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82520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1316,4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267,9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78700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1038,3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394,8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321,6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335,5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135100</w:t>
            </w:r>
          </w:p>
        </w:tc>
        <w:tc>
          <w:tcPr>
            <w:tcW w:w="2217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2568,6</w:t>
            </w:r>
          </w:p>
        </w:tc>
        <w:tc>
          <w:tcPr>
            <w:tcW w:w="2250" w:type="dxa"/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1567,2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20000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943,8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0,0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EA0" w:rsidRPr="002041C2" w:rsidRDefault="00C05C72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</w:t>
            </w:r>
            <w:r w:rsidR="00583EA0"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otal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21870,6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2755,6</w:t>
            </w:r>
          </w:p>
        </w:tc>
      </w:tr>
      <w:tr w:rsidR="00583EA0" w:rsidRPr="002041C2" w:rsidTr="007A3613">
        <w:trPr>
          <w:trHeight w:val="255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EA0" w:rsidRPr="002041C2" w:rsidRDefault="00C05C72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</w:t>
            </w:r>
            <w:r w:rsidR="00AC1705"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romedio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950,9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EA0" w:rsidRPr="002041C2" w:rsidRDefault="00583EA0" w:rsidP="007A3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041C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119,8</w:t>
            </w:r>
          </w:p>
        </w:tc>
      </w:tr>
    </w:tbl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</w:rPr>
      </w:pPr>
    </w:p>
    <w:p w:rsidR="00583EA0" w:rsidRPr="002041C2" w:rsidRDefault="00DA7AAD" w:rsidP="00583EA0">
      <w:pPr>
        <w:pStyle w:val="Textoindependiente2"/>
        <w:spacing w:line="240" w:lineRule="auto"/>
        <w:rPr>
          <w:rFonts w:ascii="Arial" w:hAnsi="Arial" w:cs="Arial"/>
          <w:i/>
        </w:rPr>
      </w:pPr>
      <w:r w:rsidRPr="002041C2">
        <w:rPr>
          <w:rFonts w:ascii="Arial" w:hAnsi="Arial" w:cs="Arial"/>
          <w:i/>
        </w:rPr>
        <w:t>Tabla 5.</w:t>
      </w:r>
      <w:r w:rsidR="00D56CD4" w:rsidRPr="002041C2">
        <w:rPr>
          <w:rFonts w:ascii="Arial" w:hAnsi="Arial" w:cs="Arial"/>
          <w:i/>
        </w:rPr>
        <w:t xml:space="preserve"> </w:t>
      </w:r>
      <w:r w:rsidR="00D56CD4" w:rsidRPr="002041C2">
        <w:rPr>
          <w:rFonts w:ascii="Arial" w:hAnsi="Arial" w:cs="Arial"/>
          <w:lang w:val="es-CO"/>
        </w:rPr>
        <w:t>C</w:t>
      </w:r>
      <w:proofErr w:type="spellStart"/>
      <w:r w:rsidR="00D56CD4" w:rsidRPr="002041C2">
        <w:rPr>
          <w:rFonts w:ascii="Arial" w:hAnsi="Arial" w:cs="Arial"/>
        </w:rPr>
        <w:t>riterios</w:t>
      </w:r>
      <w:proofErr w:type="spellEnd"/>
      <w:r w:rsidR="00D56CD4" w:rsidRPr="002041C2">
        <w:rPr>
          <w:rFonts w:ascii="Arial" w:hAnsi="Arial" w:cs="Arial"/>
        </w:rPr>
        <w:t xml:space="preserve"> de riesgo de transmisión </w:t>
      </w:r>
      <w:r w:rsidR="001C71E3" w:rsidRPr="002041C2">
        <w:rPr>
          <w:rFonts w:ascii="Arial" w:hAnsi="Arial" w:cs="Arial"/>
        </w:rPr>
        <w:t>de</w:t>
      </w:r>
      <w:r w:rsidR="00D56CD4" w:rsidRPr="002041C2">
        <w:rPr>
          <w:rFonts w:ascii="Arial" w:hAnsi="Arial" w:cs="Arial"/>
        </w:rPr>
        <w:t xml:space="preserve"> los índices de infestación larvarios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3"/>
        <w:gridCol w:w="2123"/>
        <w:gridCol w:w="2123"/>
        <w:gridCol w:w="2123"/>
      </w:tblGrid>
      <w:tr w:rsidR="00583EA0" w:rsidRPr="002041C2" w:rsidTr="007A3613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RIESGO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I.I.V.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1C2">
              <w:rPr>
                <w:rFonts w:ascii="Arial" w:hAnsi="Arial" w:cs="Arial"/>
                <w:sz w:val="24"/>
                <w:szCs w:val="24"/>
                <w:lang w:val="en-US"/>
              </w:rPr>
              <w:t>I.I.D.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1C2">
              <w:rPr>
                <w:rFonts w:ascii="Arial" w:hAnsi="Arial" w:cs="Arial"/>
                <w:sz w:val="24"/>
                <w:szCs w:val="24"/>
                <w:lang w:val="en-US"/>
              </w:rPr>
              <w:t>I.I.B.</w:t>
            </w:r>
          </w:p>
        </w:tc>
      </w:tr>
      <w:tr w:rsidR="00583EA0" w:rsidRPr="002041C2" w:rsidTr="007A3613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Bajo</w:t>
            </w:r>
          </w:p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Menor  de 4%</w:t>
            </w:r>
          </w:p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Mayor o igual a 4%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Menor de 3%</w:t>
            </w:r>
          </w:p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Mayor o igual a 3%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Menor de 5%</w:t>
            </w:r>
          </w:p>
          <w:p w:rsidR="00583EA0" w:rsidRPr="002041C2" w:rsidRDefault="00583EA0" w:rsidP="007A361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1C2">
              <w:rPr>
                <w:rFonts w:ascii="Arial" w:hAnsi="Arial" w:cs="Arial"/>
                <w:sz w:val="24"/>
                <w:szCs w:val="24"/>
              </w:rPr>
              <w:t>Mayor o igual a 5%</w:t>
            </w:r>
          </w:p>
        </w:tc>
      </w:tr>
    </w:tbl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  <w:lang w:val="es-CO"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583EA0" w:rsidRPr="002041C2" w:rsidRDefault="00AC1705" w:rsidP="00583EA0">
      <w:pPr>
        <w:pStyle w:val="Textoindependiente2"/>
        <w:spacing w:line="240" w:lineRule="auto"/>
        <w:rPr>
          <w:rFonts w:ascii="Arial" w:hAnsi="Arial" w:cs="Arial"/>
          <w:i/>
        </w:rPr>
      </w:pPr>
      <w:r w:rsidRPr="002041C2">
        <w:rPr>
          <w:noProof/>
          <w:lang w:eastAsia="es-CO"/>
        </w:rPr>
        <w:lastRenderedPageBreak/>
        <w:drawing>
          <wp:inline distT="0" distB="0" distL="0" distR="0" wp14:anchorId="3102BAEB" wp14:editId="50C9907A">
            <wp:extent cx="5612130" cy="4336415"/>
            <wp:effectExtent l="0" t="0" r="7620" b="6985"/>
            <wp:docPr id="3" name="Imagen 3" descr="C:\Users\USER\Downloads\ubicacion Turb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bicacion Turbo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E9F" w:rsidRPr="002041C2" w:rsidRDefault="000E06EF" w:rsidP="00583EA0">
      <w:pPr>
        <w:pStyle w:val="Textoindependiente2"/>
        <w:spacing w:line="240" w:lineRule="auto"/>
        <w:rPr>
          <w:rFonts w:ascii="Arial" w:hAnsi="Arial" w:cs="Arial"/>
          <w:i/>
        </w:rPr>
      </w:pPr>
      <w:r w:rsidRPr="002041C2">
        <w:rPr>
          <w:rFonts w:ascii="Arial" w:hAnsi="Arial" w:cs="Arial"/>
          <w:i/>
        </w:rPr>
        <w:t xml:space="preserve">Figura 1. </w:t>
      </w:r>
      <w:r w:rsidRPr="002041C2">
        <w:rPr>
          <w:rFonts w:ascii="Arial" w:hAnsi="Arial" w:cs="Arial"/>
        </w:rPr>
        <w:t>Ubicación geográfica corregimiento El Tres del municipio de Turbo.</w:t>
      </w:r>
    </w:p>
    <w:p w:rsidR="00D15E9F" w:rsidRPr="002041C2" w:rsidRDefault="00D15E9F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15E9F" w:rsidRPr="002041C2" w:rsidRDefault="00D15E9F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15E9F" w:rsidRPr="002041C2" w:rsidRDefault="00D15E9F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15E9F" w:rsidRPr="002041C2" w:rsidRDefault="00D15E9F" w:rsidP="00583EA0">
      <w:pPr>
        <w:pStyle w:val="Textoindependiente2"/>
        <w:spacing w:line="240" w:lineRule="auto"/>
        <w:rPr>
          <w:rFonts w:ascii="Arial" w:hAnsi="Arial" w:cs="Arial"/>
          <w:i/>
        </w:rPr>
      </w:pPr>
    </w:p>
    <w:p w:rsidR="00D15E9F" w:rsidRPr="002041C2" w:rsidRDefault="00D15E9F" w:rsidP="00D56CD4">
      <w:pPr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2041C2">
        <w:rPr>
          <w:noProof/>
          <w:sz w:val="24"/>
          <w:szCs w:val="24"/>
          <w:lang w:eastAsia="es-CO"/>
        </w:rPr>
        <w:lastRenderedPageBreak/>
        <w:drawing>
          <wp:inline distT="0" distB="0" distL="0" distR="0" wp14:anchorId="5FB8809E" wp14:editId="442B279B">
            <wp:extent cx="5410200" cy="2651760"/>
            <wp:effectExtent l="0" t="0" r="19050" b="152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6CD4" w:rsidRPr="002041C2" w:rsidRDefault="002C30C5" w:rsidP="00D56CD4">
      <w:pPr>
        <w:spacing w:before="120" w:after="120"/>
        <w:jc w:val="both"/>
        <w:rPr>
          <w:b/>
          <w:sz w:val="24"/>
          <w:szCs w:val="24"/>
        </w:rPr>
      </w:pPr>
      <w:r w:rsidRPr="002041C2">
        <w:rPr>
          <w:rFonts w:ascii="Arial" w:hAnsi="Arial" w:cs="Arial"/>
          <w:i/>
          <w:sz w:val="24"/>
          <w:szCs w:val="24"/>
        </w:rPr>
        <w:t>Figura 2</w:t>
      </w:r>
      <w:r w:rsidR="00583EA0" w:rsidRPr="002041C2">
        <w:rPr>
          <w:rFonts w:ascii="Arial" w:hAnsi="Arial" w:cs="Arial"/>
          <w:i/>
          <w:sz w:val="24"/>
          <w:szCs w:val="24"/>
        </w:rPr>
        <w:t>.</w:t>
      </w:r>
      <w:r w:rsidR="00D56CD4" w:rsidRPr="002041C2">
        <w:rPr>
          <w:rFonts w:ascii="Arial" w:hAnsi="Arial" w:cs="Arial"/>
          <w:i/>
          <w:sz w:val="24"/>
          <w:szCs w:val="24"/>
        </w:rPr>
        <w:t xml:space="preserve"> </w:t>
      </w:r>
      <w:r w:rsidR="00D56CD4" w:rsidRPr="002041C2">
        <w:rPr>
          <w:rFonts w:ascii="Arial" w:hAnsi="Arial" w:cs="Arial"/>
          <w:sz w:val="24"/>
          <w:szCs w:val="24"/>
        </w:rPr>
        <w:t>Resultado encuestas antes y después del control biológico.</w:t>
      </w:r>
      <w:r w:rsidR="00D56CD4" w:rsidRPr="002041C2">
        <w:rPr>
          <w:b/>
          <w:sz w:val="24"/>
          <w:szCs w:val="24"/>
        </w:rPr>
        <w:t xml:space="preserve"> </w:t>
      </w:r>
    </w:p>
    <w:p w:rsidR="00D15E9F" w:rsidRPr="002041C2" w:rsidRDefault="00D15E9F" w:rsidP="00D56CD4">
      <w:pPr>
        <w:spacing w:before="120" w:after="120"/>
        <w:jc w:val="both"/>
        <w:rPr>
          <w:b/>
          <w:sz w:val="24"/>
          <w:szCs w:val="24"/>
        </w:rPr>
      </w:pPr>
    </w:p>
    <w:p w:rsidR="00583EA0" w:rsidRPr="002041C2" w:rsidRDefault="00583EA0" w:rsidP="00583EA0">
      <w:pPr>
        <w:pStyle w:val="Textoindependiente2"/>
        <w:spacing w:line="240" w:lineRule="auto"/>
        <w:rPr>
          <w:rFonts w:ascii="Arial" w:hAnsi="Arial" w:cs="Arial"/>
          <w:i/>
          <w:lang w:val="es-CO"/>
        </w:rPr>
      </w:pPr>
    </w:p>
    <w:p w:rsidR="00D15E9F" w:rsidRPr="002041C2" w:rsidRDefault="00D15E9F" w:rsidP="00583EA0">
      <w:pPr>
        <w:pStyle w:val="Textoindependiente2"/>
        <w:spacing w:line="240" w:lineRule="auto"/>
        <w:rPr>
          <w:rFonts w:ascii="Arial" w:hAnsi="Arial" w:cs="Arial"/>
          <w:i/>
          <w:lang w:val="es-CO"/>
        </w:rPr>
      </w:pPr>
      <w:r w:rsidRPr="002041C2">
        <w:rPr>
          <w:noProof/>
          <w:lang w:val="es-CO" w:eastAsia="es-CO"/>
        </w:rPr>
        <w:drawing>
          <wp:inline distT="0" distB="0" distL="0" distR="0" wp14:anchorId="469B48F7" wp14:editId="4E4AF589">
            <wp:extent cx="5471160" cy="3009900"/>
            <wp:effectExtent l="0" t="0" r="1524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3EA0" w:rsidRPr="002041C2" w:rsidRDefault="002C30C5" w:rsidP="00583EA0">
      <w:pPr>
        <w:pStyle w:val="Textoindependiente2"/>
        <w:spacing w:line="240" w:lineRule="auto"/>
        <w:rPr>
          <w:rFonts w:ascii="Arial" w:hAnsi="Arial" w:cs="Arial"/>
          <w:i/>
        </w:rPr>
      </w:pPr>
      <w:r w:rsidRPr="002041C2">
        <w:rPr>
          <w:rFonts w:ascii="Arial" w:hAnsi="Arial" w:cs="Arial"/>
          <w:i/>
        </w:rPr>
        <w:t>Figura 3</w:t>
      </w:r>
      <w:r w:rsidR="00583EA0" w:rsidRPr="002041C2">
        <w:rPr>
          <w:rFonts w:ascii="Arial" w:hAnsi="Arial" w:cs="Arial"/>
          <w:i/>
        </w:rPr>
        <w:t>.</w:t>
      </w:r>
      <w:r w:rsidR="00D56CD4" w:rsidRPr="002041C2">
        <w:rPr>
          <w:b/>
        </w:rPr>
        <w:t xml:space="preserve"> </w:t>
      </w:r>
      <w:r w:rsidR="00D56CD4" w:rsidRPr="002041C2">
        <w:rPr>
          <w:rFonts w:ascii="Arial" w:hAnsi="Arial" w:cs="Arial"/>
        </w:rPr>
        <w:t xml:space="preserve">Modificación de la densidad larvaria en el pre y </w:t>
      </w:r>
      <w:proofErr w:type="spellStart"/>
      <w:r w:rsidR="00D56CD4" w:rsidRPr="002041C2">
        <w:rPr>
          <w:rFonts w:ascii="Arial" w:hAnsi="Arial" w:cs="Arial"/>
        </w:rPr>
        <w:t>postratamiento</w:t>
      </w:r>
      <w:proofErr w:type="spellEnd"/>
    </w:p>
    <w:p w:rsidR="00F631A8" w:rsidRPr="002041C2" w:rsidRDefault="00F631A8">
      <w:pPr>
        <w:rPr>
          <w:sz w:val="24"/>
          <w:szCs w:val="24"/>
        </w:rPr>
      </w:pPr>
    </w:p>
    <w:sectPr w:rsidR="00F631A8" w:rsidRPr="00204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A0"/>
    <w:rsid w:val="000A44FD"/>
    <w:rsid w:val="000E06EF"/>
    <w:rsid w:val="0016793E"/>
    <w:rsid w:val="001C71E3"/>
    <w:rsid w:val="002041C2"/>
    <w:rsid w:val="002C30C5"/>
    <w:rsid w:val="00583EA0"/>
    <w:rsid w:val="00AC1705"/>
    <w:rsid w:val="00C05C72"/>
    <w:rsid w:val="00D15E9F"/>
    <w:rsid w:val="00D27C3B"/>
    <w:rsid w:val="00D56CD4"/>
    <w:rsid w:val="00DA7AAD"/>
    <w:rsid w:val="00E44594"/>
    <w:rsid w:val="00F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A0"/>
  </w:style>
  <w:style w:type="paragraph" w:styleId="Ttulo1">
    <w:name w:val="heading 1"/>
    <w:basedOn w:val="Normal"/>
    <w:next w:val="Normal"/>
    <w:link w:val="Ttulo1Car"/>
    <w:qFormat/>
    <w:rsid w:val="00583EA0"/>
    <w:pPr>
      <w:keepNext/>
      <w:framePr w:hSpace="141" w:wrap="around" w:vAnchor="text" w:hAnchor="text" w:x="70" w:y="1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3EA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83E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83E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A0"/>
  </w:style>
  <w:style w:type="paragraph" w:styleId="Ttulo1">
    <w:name w:val="heading 1"/>
    <w:basedOn w:val="Normal"/>
    <w:next w:val="Normal"/>
    <w:link w:val="Ttulo1Car"/>
    <w:qFormat/>
    <w:rsid w:val="00583EA0"/>
    <w:pPr>
      <w:keepNext/>
      <w:framePr w:hSpace="141" w:wrap="around" w:vAnchor="text" w:hAnchor="text" w:x="70" w:y="1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3EA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83E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83E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ate\AppData\Local\Temp\grafica%20porcentaj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ate\AppData\Local\Temp\grafica%20porcentaj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Hoja1!$A$13</c:f>
              <c:strCache>
                <c:ptCount val="1"/>
                <c:pt idx="0">
                  <c:v>Conocimiento antes</c:v>
                </c:pt>
              </c:strCache>
            </c:strRef>
          </c:tx>
          <c:invertIfNegative val="0"/>
          <c:val>
            <c:numRef>
              <c:f>Hoja1!$A$14:$A$21</c:f>
              <c:numCache>
                <c:formatCode>0.00</c:formatCode>
                <c:ptCount val="8"/>
                <c:pt idx="0">
                  <c:v>96.666666666666671</c:v>
                </c:pt>
                <c:pt idx="1">
                  <c:v>86.666666666666671</c:v>
                </c:pt>
                <c:pt idx="2">
                  <c:v>86.666666666666671</c:v>
                </c:pt>
                <c:pt idx="3">
                  <c:v>30</c:v>
                </c:pt>
                <c:pt idx="4">
                  <c:v>30</c:v>
                </c:pt>
                <c:pt idx="5">
                  <c:v>13.333333333333334</c:v>
                </c:pt>
                <c:pt idx="6">
                  <c:v>6.666666666666667</c:v>
                </c:pt>
                <c:pt idx="7">
                  <c:v>3.3333333333333335</c:v>
                </c:pt>
              </c:numCache>
            </c:numRef>
          </c:val>
        </c:ser>
        <c:ser>
          <c:idx val="1"/>
          <c:order val="1"/>
          <c:tx>
            <c:strRef>
              <c:f>Hoja1!$B$13</c:f>
              <c:strCache>
                <c:ptCount val="1"/>
                <c:pt idx="0">
                  <c:v>Conocimiento después</c:v>
                </c:pt>
              </c:strCache>
            </c:strRef>
          </c:tx>
          <c:invertIfNegative val="0"/>
          <c:val>
            <c:numRef>
              <c:f>Hoja1!$B$14:$B$21</c:f>
              <c:numCache>
                <c:formatCode>0.00</c:formatCode>
                <c:ptCount val="8"/>
                <c:pt idx="0">
                  <c:v>100</c:v>
                </c:pt>
                <c:pt idx="1">
                  <c:v>93.333333333333329</c:v>
                </c:pt>
                <c:pt idx="2">
                  <c:v>93.333333333333329</c:v>
                </c:pt>
                <c:pt idx="3">
                  <c:v>90</c:v>
                </c:pt>
                <c:pt idx="4">
                  <c:v>90</c:v>
                </c:pt>
                <c:pt idx="5">
                  <c:v>53.333333333333336</c:v>
                </c:pt>
                <c:pt idx="6">
                  <c:v>96.666666666666671</c:v>
                </c:pt>
                <c:pt idx="7">
                  <c:v>93.333333333333329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655296"/>
        <c:axId val="167763968"/>
      </c:barChart>
      <c:catAx>
        <c:axId val="167655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900" b="0" baseline="0">
                    <a:latin typeface="Arial" pitchFamily="34" charset="0"/>
                    <a:cs typeface="Arial" pitchFamily="34" charset="0"/>
                  </a:rPr>
                  <a:t>Preguntas</a:t>
                </a:r>
                <a:endParaRPr lang="en-US" sz="900" b="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crossAx val="167763968"/>
        <c:crosses val="autoZero"/>
        <c:auto val="1"/>
        <c:lblAlgn val="ctr"/>
        <c:lblOffset val="100"/>
        <c:noMultiLvlLbl val="0"/>
      </c:catAx>
      <c:valAx>
        <c:axId val="167763968"/>
        <c:scaling>
          <c:orientation val="minMax"/>
          <c:max val="100"/>
        </c:scaling>
        <c:delete val="0"/>
        <c:axPos val="l"/>
        <c:title>
          <c:tx>
            <c:rich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="0">
                    <a:latin typeface="Arial" pitchFamily="34" charset="0"/>
                    <a:cs typeface="Arial" pitchFamily="34" charset="0"/>
                  </a:rPr>
                  <a:t>Porcentajes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67655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Hoja1!$B$27</c:f>
              <c:strCache>
                <c:ptCount val="1"/>
                <c:pt idx="0">
                  <c:v>Densidad pretratamiento</c:v>
                </c:pt>
              </c:strCache>
            </c:strRef>
          </c:tx>
          <c:invertIfNegative val="0"/>
          <c:val>
            <c:numRef>
              <c:f>Hoja1!$B$28:$B$50</c:f>
              <c:numCache>
                <c:formatCode>General</c:formatCode>
                <c:ptCount val="23"/>
                <c:pt idx="0">
                  <c:v>220.5</c:v>
                </c:pt>
                <c:pt idx="1">
                  <c:v>632.5</c:v>
                </c:pt>
                <c:pt idx="2">
                  <c:v>156</c:v>
                </c:pt>
                <c:pt idx="3">
                  <c:v>1278.8</c:v>
                </c:pt>
                <c:pt idx="4">
                  <c:v>339.2</c:v>
                </c:pt>
                <c:pt idx="5">
                  <c:v>647.6</c:v>
                </c:pt>
                <c:pt idx="6">
                  <c:v>2141.1</c:v>
                </c:pt>
                <c:pt idx="7">
                  <c:v>376.8</c:v>
                </c:pt>
                <c:pt idx="8">
                  <c:v>1397.5</c:v>
                </c:pt>
                <c:pt idx="9">
                  <c:v>1807.4</c:v>
                </c:pt>
                <c:pt idx="10">
                  <c:v>292</c:v>
                </c:pt>
                <c:pt idx="11">
                  <c:v>1088.8</c:v>
                </c:pt>
                <c:pt idx="12">
                  <c:v>1283.9000000000001</c:v>
                </c:pt>
                <c:pt idx="13">
                  <c:v>389.7</c:v>
                </c:pt>
                <c:pt idx="14">
                  <c:v>2449.9</c:v>
                </c:pt>
                <c:pt idx="15">
                  <c:v>362.2</c:v>
                </c:pt>
                <c:pt idx="16">
                  <c:v>423.2</c:v>
                </c:pt>
                <c:pt idx="17">
                  <c:v>1316.4</c:v>
                </c:pt>
                <c:pt idx="18">
                  <c:v>1038.3</c:v>
                </c:pt>
                <c:pt idx="19">
                  <c:v>394.8</c:v>
                </c:pt>
                <c:pt idx="20">
                  <c:v>321.60000000000002</c:v>
                </c:pt>
                <c:pt idx="21">
                  <c:v>2568.6</c:v>
                </c:pt>
                <c:pt idx="22">
                  <c:v>943.8</c:v>
                </c:pt>
              </c:numCache>
            </c:numRef>
          </c:val>
        </c:ser>
        <c:ser>
          <c:idx val="1"/>
          <c:order val="1"/>
          <c:tx>
            <c:strRef>
              <c:f>Hoja1!$C$27</c:f>
              <c:strCache>
                <c:ptCount val="1"/>
                <c:pt idx="0">
                  <c:v>Densidad postratamiento</c:v>
                </c:pt>
              </c:strCache>
            </c:strRef>
          </c:tx>
          <c:invertIfNegative val="0"/>
          <c:val>
            <c:numRef>
              <c:f>Hoja1!$C$28:$C$50</c:f>
              <c:numCache>
                <c:formatCode>General</c:formatCode>
                <c:ptCount val="23"/>
                <c:pt idx="0">
                  <c:v>10.6</c:v>
                </c:pt>
                <c:pt idx="1">
                  <c:v>0</c:v>
                </c:pt>
                <c:pt idx="2">
                  <c:v>0</c:v>
                </c:pt>
                <c:pt idx="3">
                  <c:v>70.099999999999994</c:v>
                </c:pt>
                <c:pt idx="4">
                  <c:v>0</c:v>
                </c:pt>
                <c:pt idx="5">
                  <c:v>0</c:v>
                </c:pt>
                <c:pt idx="6">
                  <c:v>50.8</c:v>
                </c:pt>
                <c:pt idx="7">
                  <c:v>0</c:v>
                </c:pt>
                <c:pt idx="8">
                  <c:v>0</c:v>
                </c:pt>
                <c:pt idx="9">
                  <c:v>108.6</c:v>
                </c:pt>
                <c:pt idx="10">
                  <c:v>47.1</c:v>
                </c:pt>
                <c:pt idx="11">
                  <c:v>0</c:v>
                </c:pt>
                <c:pt idx="12">
                  <c:v>171.5</c:v>
                </c:pt>
                <c:pt idx="13">
                  <c:v>0</c:v>
                </c:pt>
                <c:pt idx="14">
                  <c:v>126.3</c:v>
                </c:pt>
                <c:pt idx="15">
                  <c:v>0</c:v>
                </c:pt>
                <c:pt idx="16">
                  <c:v>0</c:v>
                </c:pt>
                <c:pt idx="17">
                  <c:v>267.89999999999998</c:v>
                </c:pt>
                <c:pt idx="18">
                  <c:v>0</c:v>
                </c:pt>
                <c:pt idx="19">
                  <c:v>0</c:v>
                </c:pt>
                <c:pt idx="20">
                  <c:v>335.5</c:v>
                </c:pt>
                <c:pt idx="21">
                  <c:v>1567.2</c:v>
                </c:pt>
                <c:pt idx="2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257088"/>
        <c:axId val="175259008"/>
      </c:barChart>
      <c:catAx>
        <c:axId val="1752570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sz="900" b="0">
                    <a:latin typeface="Arial" pitchFamily="34" charset="0"/>
                    <a:cs typeface="Arial" pitchFamily="34" charset="0"/>
                  </a:rPr>
                  <a:t>Tamaño</a:t>
                </a:r>
                <a:r>
                  <a:rPr lang="en-US" sz="900" b="0" baseline="0">
                    <a:latin typeface="Arial" pitchFamily="34" charset="0"/>
                    <a:cs typeface="Arial" pitchFamily="34" charset="0"/>
                  </a:rPr>
                  <a:t> de muestra</a:t>
                </a:r>
                <a:endParaRPr lang="en-US" sz="900" b="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crossAx val="175259008"/>
        <c:crosses val="autoZero"/>
        <c:auto val="1"/>
        <c:lblAlgn val="ctr"/>
        <c:lblOffset val="100"/>
        <c:noMultiLvlLbl val="0"/>
      </c:catAx>
      <c:valAx>
        <c:axId val="1752590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="0">
                    <a:latin typeface="Arial" pitchFamily="34" charset="0"/>
                    <a:cs typeface="Arial" pitchFamily="34" charset="0"/>
                  </a:rPr>
                  <a:t>Densidad larvaria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257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2013-05-13T23:44:00Z</dcterms:created>
  <dcterms:modified xsi:type="dcterms:W3CDTF">2013-05-21T15:21:00Z</dcterms:modified>
</cp:coreProperties>
</file>