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7659" w:rsidRDefault="00F235DD">
      <w:pPr>
        <w:spacing w:line="360" w:lineRule="auto"/>
        <w:jc w:val="center"/>
        <w:rPr>
          <w:b/>
          <w:bCs/>
          <w:color w:val="000000"/>
        </w:rPr>
      </w:pPr>
      <w:r>
        <w:rPr>
          <w:b/>
          <w:bCs/>
          <w:color w:val="000000"/>
        </w:rPr>
        <w:t>La Génesis de la Argumentación.  Un Estudio con Niños de 3 a 5 Años en Distintos Contextos de Juego</w:t>
      </w:r>
    </w:p>
    <w:p w:rsidR="00227659" w:rsidRDefault="00227659">
      <w:pPr>
        <w:spacing w:line="480" w:lineRule="auto"/>
        <w:rPr>
          <w:b/>
          <w:bCs/>
          <w:color w:val="000000"/>
        </w:rPr>
      </w:pPr>
    </w:p>
    <w:p w:rsidR="00227659" w:rsidRDefault="00F235DD">
      <w:pPr>
        <w:spacing w:line="480" w:lineRule="auto"/>
        <w:jc w:val="center"/>
      </w:pPr>
      <w:r>
        <w:rPr>
          <w:rStyle w:val="hps"/>
          <w:b/>
        </w:rPr>
        <w:t>The</w:t>
      </w:r>
      <w:r>
        <w:rPr>
          <w:b/>
        </w:rPr>
        <w:t xml:space="preserve"> </w:t>
      </w:r>
      <w:r>
        <w:rPr>
          <w:rStyle w:val="hps"/>
          <w:b/>
        </w:rPr>
        <w:t>Genesis</w:t>
      </w:r>
      <w:r>
        <w:rPr>
          <w:b/>
        </w:rPr>
        <w:t xml:space="preserve"> </w:t>
      </w:r>
      <w:r>
        <w:rPr>
          <w:rStyle w:val="hps"/>
          <w:b/>
        </w:rPr>
        <w:t>of Argumentation</w:t>
      </w:r>
      <w:r>
        <w:rPr>
          <w:b/>
        </w:rPr>
        <w:t xml:space="preserve">. </w:t>
      </w:r>
      <w:r>
        <w:rPr>
          <w:rStyle w:val="hps"/>
          <w:b/>
        </w:rPr>
        <w:t>A Study</w:t>
      </w:r>
      <w:r>
        <w:rPr>
          <w:b/>
        </w:rPr>
        <w:t xml:space="preserve"> </w:t>
      </w:r>
      <w:r>
        <w:rPr>
          <w:rStyle w:val="hps"/>
          <w:b/>
        </w:rPr>
        <w:t>with</w:t>
      </w:r>
      <w:r>
        <w:rPr>
          <w:b/>
        </w:rPr>
        <w:t xml:space="preserve"> </w:t>
      </w:r>
      <w:r>
        <w:rPr>
          <w:rStyle w:val="hps"/>
          <w:b/>
        </w:rPr>
        <w:t>Children</w:t>
      </w:r>
      <w:r>
        <w:rPr>
          <w:b/>
        </w:rPr>
        <w:t xml:space="preserve"> </w:t>
      </w:r>
      <w:r>
        <w:rPr>
          <w:rStyle w:val="hps"/>
          <w:b/>
        </w:rPr>
        <w:t>3-5</w:t>
      </w:r>
      <w:r>
        <w:rPr>
          <w:b/>
        </w:rPr>
        <w:t xml:space="preserve"> </w:t>
      </w:r>
      <w:r>
        <w:rPr>
          <w:rStyle w:val="hps"/>
          <w:b/>
        </w:rPr>
        <w:t>Years</w:t>
      </w:r>
      <w:r>
        <w:rPr>
          <w:b/>
        </w:rPr>
        <w:t xml:space="preserve"> </w:t>
      </w:r>
      <w:r>
        <w:rPr>
          <w:rStyle w:val="hps"/>
          <w:b/>
        </w:rPr>
        <w:t>Play</w:t>
      </w:r>
      <w:r>
        <w:rPr>
          <w:b/>
        </w:rPr>
        <w:t xml:space="preserve"> </w:t>
      </w:r>
      <w:r>
        <w:rPr>
          <w:rStyle w:val="hps"/>
          <w:b/>
        </w:rPr>
        <w:t>in Different</w:t>
      </w:r>
      <w:r>
        <w:rPr>
          <w:b/>
        </w:rPr>
        <w:t xml:space="preserve"> </w:t>
      </w:r>
      <w:r>
        <w:rPr>
          <w:rStyle w:val="hps"/>
          <w:b/>
        </w:rPr>
        <w:t>Contexts</w:t>
      </w:r>
    </w:p>
    <w:p w:rsidR="00227659" w:rsidRDefault="00227659">
      <w:pPr>
        <w:spacing w:line="480" w:lineRule="auto"/>
        <w:jc w:val="center"/>
      </w:pPr>
    </w:p>
    <w:p w:rsidR="00227659" w:rsidRDefault="00F235DD">
      <w:pPr>
        <w:spacing w:line="480" w:lineRule="auto"/>
      </w:pPr>
      <w:r>
        <w:rPr>
          <w:rStyle w:val="hps"/>
          <w:b/>
          <w:lang w:val="es-AR"/>
        </w:rPr>
        <w:t>Resumen</w:t>
      </w:r>
    </w:p>
    <w:p w:rsidR="00227659" w:rsidRDefault="00227659">
      <w:pPr>
        <w:spacing w:line="480" w:lineRule="auto"/>
      </w:pPr>
    </w:p>
    <w:p w:rsidR="00227659" w:rsidRDefault="00F235DD">
      <w:pPr>
        <w:spacing w:line="480" w:lineRule="auto"/>
        <w:jc w:val="both"/>
      </w:pPr>
      <w:r>
        <w:rPr>
          <w:rStyle w:val="hps"/>
          <w:lang w:val="es-AR"/>
        </w:rPr>
        <w:t>Este trabajo se propone analizar el desarrollo de las estrategias argumentativas de niños de 3, 4 y 5 años. En un trabajo previo, hemos desarrollado un sistema de categorías que conceptualizan las estrategias argumentativas utilizadas por los niños de esa edad. En este estudio se analizan las estrategias argumentativas, así como los recursos lingüísticos utilizados por los niños en las disputas que se produjeron durante las situaciones de juego en el jardín de infantes. El análisis considera el desempeño de los niños, teniendo en cuenta el grupo de edad y el tipo de juego -juego dramático, juego de mesa y juego de construcciones. El corpus comprende 124 disputas entre pares. Los resultados muestran diferencias significativas entre la cantidad de estrategias argumentativas empleadas por los niños y la cantidad de ocasiones en las que simplemente se oponen a un punto de vista a los 4 y 5 años de edad. En cuanto al tipo de juego, se encontraron diferencias significativas entre la cantidad de estrategias argumentativas utilizadas por los niños y las ocasiones en las que simplemente se oponen a un punto de vista  en los tres tipos de juego analizados. Se discuten los resultados teniendo en cuenta los estudios previos que mostraron que los 4 años podría ser un punto de inflexión donde surgen las primeras habilidades argumentativas. Los resultados también mostraron que no sólo en el juego dramático, sino también en el de mesa y en el de construcciones se crean oportunidades para que los niños utilicen estrategias argumentativas.</w:t>
      </w:r>
    </w:p>
    <w:p w:rsidR="00227659" w:rsidRDefault="00227659">
      <w:pPr>
        <w:spacing w:line="480" w:lineRule="auto"/>
      </w:pPr>
    </w:p>
    <w:p w:rsidR="00227659" w:rsidRDefault="00F235DD">
      <w:pPr>
        <w:spacing w:line="480" w:lineRule="auto"/>
      </w:pPr>
      <w:r>
        <w:rPr>
          <w:rStyle w:val="hps"/>
          <w:lang w:val="es-AR"/>
        </w:rPr>
        <w:lastRenderedPageBreak/>
        <w:t xml:space="preserve">Palabras clave: </w:t>
      </w:r>
      <w:r>
        <w:rPr>
          <w:rStyle w:val="hps"/>
          <w:i/>
          <w:lang w:val="es-AR"/>
        </w:rPr>
        <w:t>Argumentación, niños, juego</w:t>
      </w:r>
    </w:p>
    <w:p w:rsidR="00227659" w:rsidRDefault="00227659">
      <w:pPr>
        <w:spacing w:line="480" w:lineRule="auto"/>
      </w:pPr>
    </w:p>
    <w:p w:rsidR="00227659" w:rsidRDefault="00F235DD">
      <w:pPr>
        <w:spacing w:line="480" w:lineRule="auto"/>
      </w:pPr>
      <w:r>
        <w:rPr>
          <w:rStyle w:val="hps"/>
          <w:b/>
          <w:lang w:val="es-AR"/>
        </w:rPr>
        <w:t>Abstract</w:t>
      </w:r>
    </w:p>
    <w:p w:rsidR="00227659" w:rsidRDefault="00227659">
      <w:pPr>
        <w:spacing w:line="480" w:lineRule="auto"/>
        <w:jc w:val="both"/>
      </w:pPr>
    </w:p>
    <w:p w:rsidR="00227659" w:rsidRDefault="00F235DD">
      <w:pPr>
        <w:spacing w:line="480" w:lineRule="auto"/>
        <w:jc w:val="both"/>
        <w:rPr>
          <w:b/>
          <w:bCs/>
          <w:color w:val="000000"/>
          <w:lang w:val="en-US"/>
        </w:rPr>
      </w:pPr>
      <w:r>
        <w:rPr>
          <w:lang w:val="en-US"/>
        </w:rPr>
        <w:t>This work aims to analyze the development of the argumentative strategies in three, four and five year old children. In a previous study we developed a system of categories that conceptualize the argumentative strategies used by children of this age. In this study we analyze the argumentative strategies as well as the linguistic resources used by the children in disputes that occurred during play situations at kindergarten. The analysis considers children´s performance taking into account the age group and the type of play (dramatic play, board game and block play). The corpus consists of 124 disputes among peers. Results show that at four and five years of age there are significant differences between the quantity of argumentative strategies employed by the children and the quantity of ocassions  in which they just oppose a point of view . Regarding the type of play, we found significant differences between the quantity of argumentative strategies used by the children and the ocassions in which they just oppose a point of view during the three types of play analyzed: dramatic play, block play and board game. Results are discussed considering previous studies that showed that age four could be a turning point where early skills of argument arise. Results also showed that not only dramatic play situations but also block play and board game situations create opportunities for children to use argumentative strategies.</w:t>
      </w:r>
    </w:p>
    <w:p w:rsidR="00227659" w:rsidRDefault="00227659">
      <w:pPr>
        <w:spacing w:line="480" w:lineRule="auto"/>
        <w:rPr>
          <w:b/>
          <w:bCs/>
          <w:color w:val="000000"/>
          <w:lang w:val="en-US"/>
        </w:rPr>
      </w:pPr>
    </w:p>
    <w:p w:rsidR="00227659" w:rsidRDefault="00F235DD">
      <w:pPr>
        <w:spacing w:line="480" w:lineRule="auto"/>
        <w:jc w:val="both"/>
        <w:rPr>
          <w:b/>
          <w:bCs/>
          <w:color w:val="000000"/>
          <w:lang w:val="en-US"/>
        </w:rPr>
      </w:pPr>
      <w:r>
        <w:rPr>
          <w:bCs/>
          <w:color w:val="000000"/>
          <w:lang w:val="en-US"/>
        </w:rPr>
        <w:t xml:space="preserve">Key words: </w:t>
      </w:r>
      <w:r>
        <w:rPr>
          <w:bCs/>
          <w:i/>
          <w:color w:val="000000"/>
          <w:lang w:val="en-US"/>
        </w:rPr>
        <w:t>Argumentation, children, play</w:t>
      </w:r>
    </w:p>
    <w:p w:rsidR="00227659" w:rsidRDefault="00F235DD">
      <w:pPr>
        <w:spacing w:line="480" w:lineRule="auto"/>
        <w:rPr>
          <w:color w:val="000000"/>
          <w:lang w:val="en-US"/>
        </w:rPr>
      </w:pPr>
      <w:r>
        <w:rPr>
          <w:b/>
          <w:bCs/>
          <w:color w:val="000000"/>
          <w:lang w:val="en-US"/>
        </w:rPr>
        <w:t>Introducción</w:t>
      </w:r>
    </w:p>
    <w:p w:rsidR="00227659" w:rsidRDefault="00227659">
      <w:pPr>
        <w:spacing w:line="480" w:lineRule="auto"/>
        <w:ind w:firstLine="12"/>
        <w:rPr>
          <w:color w:val="000000"/>
          <w:lang w:val="en-US"/>
        </w:rPr>
      </w:pPr>
    </w:p>
    <w:p w:rsidR="00227659" w:rsidRDefault="00F235DD">
      <w:pPr>
        <w:spacing w:line="480" w:lineRule="auto"/>
        <w:ind w:hanging="13"/>
        <w:jc w:val="both"/>
        <w:rPr>
          <w:color w:val="000000"/>
          <w:lang w:val="es-AR"/>
        </w:rPr>
      </w:pPr>
      <w:r>
        <w:rPr>
          <w:color w:val="000000"/>
          <w:lang w:val="es-AR"/>
        </w:rPr>
        <w:lastRenderedPageBreak/>
        <w:t xml:space="preserve">Este trabajo tiene por objeto estudiar la génesis de la competencia y práctica argumentativa en niños pequeños de 3 a 5 años de edad.  Desde una perspectiva que integra las teorías socioculturales del desarrollo humano (Luria, 1995; Werstch, 1998; Vygotski, 1964), los modelos psicolingüísticos actuales con base sociocultural (Nelson, 1996; Tomasello, 2008, 2010), la psicología del razonamiento (Clément, 2010; Evans, 2010; Mercier &amp; Sperber, 2011; Stanovich, 2011), y la teoría de la argumentación (van Eemeren y Grootendorst, 2004; Walton, 2013; Walton, Reed y Macagno, 2008) se ha elaborado un sistema de categorías que da cuenta de las estrategias argumentativas que estos niños preescolares emplean en disputas en situaciones de juego (xxx).  En el presente estudio se analiza específicamente la progresión evolutiva de estas estrategias y los recursos lingüísticos que las configuran en la etapa preescolar.  Asimismo se  analiza si el tipo de juego -dramático, de mesa y de construcción- en el marco en el cual se produce la controversia dialógica, incide en las estrategias y recursos lingüísticos empleados.  </w:t>
      </w:r>
    </w:p>
    <w:p w:rsidR="00227659" w:rsidRDefault="00F235DD">
      <w:pPr>
        <w:spacing w:line="480" w:lineRule="auto"/>
        <w:ind w:hanging="13"/>
        <w:jc w:val="both"/>
        <w:rPr>
          <w:color w:val="000000"/>
          <w:lang w:val="es-AR"/>
        </w:rPr>
      </w:pPr>
      <w:r>
        <w:rPr>
          <w:color w:val="000000"/>
          <w:lang w:val="es-AR"/>
        </w:rPr>
        <w:tab/>
      </w:r>
      <w:r>
        <w:rPr>
          <w:color w:val="000000"/>
          <w:lang w:val="es-AR"/>
        </w:rPr>
        <w:tab/>
        <w:t xml:space="preserve">El estudio de las estrategias argumentativas infantiles reviste especial importancia en tanto constituye un fenómeno poco abordado en la investigación psicolingüística.  En efecto, la argumentación ha sido estudiada desde la perspectiva de las competencias y experiencias de un hablante adulto de una lengua natural; como ha sido el caso en los acercamientos clásicos de la retórica (Aristóteles, 2005; Cicerón, 2001; Quintiliano, 2001) y de las teorías contemporáneas de la argumentación (Johnson, 2000; </w:t>
      </w:r>
      <w:r>
        <w:rPr>
          <w:color w:val="000000"/>
        </w:rPr>
        <w:t>Perelman y Olbrechts Tyteca, 1989;</w:t>
      </w:r>
      <w:r>
        <w:rPr>
          <w:color w:val="000000"/>
          <w:lang w:val="es-AR"/>
        </w:rPr>
        <w:t xml:space="preserve"> Plantin, 2002, 2012; Tindale, 2004; Toulmin, 1958; van Eemeren &amp; Grootendors, 2004; van Eemeren, 2010).  </w:t>
      </w:r>
    </w:p>
    <w:p w:rsidR="00227659" w:rsidRDefault="00F235DD">
      <w:pPr>
        <w:spacing w:line="480" w:lineRule="auto"/>
        <w:ind w:hanging="13"/>
        <w:jc w:val="both"/>
        <w:rPr>
          <w:color w:val="000000"/>
          <w:lang w:val="es-AR"/>
        </w:rPr>
      </w:pPr>
      <w:r>
        <w:rPr>
          <w:color w:val="000000"/>
          <w:lang w:val="es-AR"/>
        </w:rPr>
        <w:tab/>
      </w:r>
      <w:r>
        <w:rPr>
          <w:color w:val="000000"/>
          <w:lang w:val="es-AR"/>
        </w:rPr>
        <w:tab/>
        <w:t xml:space="preserve">¿Qué tienen en común los estudios clásicos y aquellos estudios empíricos que se preguntan por la competencia argumentativa en adultos y jóvenes? Tienen en común que dan por sentado tal competencia y nada se preguntan por el modo de adquisición y desarrollo de la misma.  Solo un número limitado de trabajos ponen el centro del interés en la argumentación </w:t>
      </w:r>
      <w:r>
        <w:rPr>
          <w:color w:val="000000"/>
          <w:lang w:val="es-AR"/>
        </w:rPr>
        <w:lastRenderedPageBreak/>
        <w:t>infantil.  Ellos insinúan una nueva línea de investigación focalizada en cómo surge y se desarrolla la competencia argumentativa (Crespo, 1995; Doyle y Connolly, 1989; Dunn y Munn, 1986; Eisenberg, 1987; Mercier, 2011; Molina, 2012; Peronard; 1991; Stein y Albro, 2001; Zadunaisky Ehrlich y Blum-Kulka, 2010).</w:t>
      </w:r>
    </w:p>
    <w:p w:rsidR="00227659" w:rsidRDefault="00F235DD">
      <w:pPr>
        <w:spacing w:line="480" w:lineRule="auto"/>
        <w:ind w:hanging="13"/>
        <w:jc w:val="both"/>
        <w:rPr>
          <w:b/>
          <w:color w:val="000000"/>
          <w:lang w:val="es-AR"/>
        </w:rPr>
      </w:pPr>
      <w:r>
        <w:rPr>
          <w:color w:val="000000"/>
          <w:lang w:val="es-AR"/>
        </w:rPr>
        <w:tab/>
      </w:r>
    </w:p>
    <w:p w:rsidR="00227659" w:rsidRDefault="00F235DD">
      <w:pPr>
        <w:spacing w:line="480" w:lineRule="auto"/>
        <w:ind w:hanging="13"/>
        <w:jc w:val="both"/>
        <w:rPr>
          <w:color w:val="000000"/>
          <w:lang w:val="es-AR"/>
        </w:rPr>
      </w:pPr>
      <w:r>
        <w:rPr>
          <w:b/>
          <w:color w:val="000000"/>
          <w:lang w:val="es-AR"/>
        </w:rPr>
        <w:t xml:space="preserve">Estudios antecedentes </w:t>
      </w:r>
    </w:p>
    <w:p w:rsidR="00227659" w:rsidRDefault="00227659">
      <w:pPr>
        <w:spacing w:line="480" w:lineRule="auto"/>
        <w:ind w:hanging="13"/>
        <w:jc w:val="both"/>
        <w:rPr>
          <w:color w:val="000000"/>
          <w:lang w:val="es-AR"/>
        </w:rPr>
      </w:pPr>
    </w:p>
    <w:p w:rsidR="00227659" w:rsidRDefault="00F235DD">
      <w:pPr>
        <w:spacing w:line="480" w:lineRule="auto"/>
        <w:ind w:hanging="13"/>
        <w:jc w:val="both"/>
        <w:rPr>
          <w:rStyle w:val="hpsatn"/>
          <w:color w:val="000000"/>
          <w:lang w:val="es-AR"/>
        </w:rPr>
      </w:pPr>
      <w:r>
        <w:rPr>
          <w:color w:val="000000"/>
          <w:lang w:val="es-AR"/>
        </w:rPr>
        <w:t>Dentro de los trabajos antecedentes enfocados en el estudio de</w:t>
      </w:r>
      <w:r>
        <w:rPr>
          <w:b/>
          <w:color w:val="000000"/>
          <w:sz w:val="28"/>
          <w:szCs w:val="28"/>
          <w:lang w:val="es-AR"/>
        </w:rPr>
        <w:t xml:space="preserve"> </w:t>
      </w:r>
      <w:r>
        <w:rPr>
          <w:color w:val="000000"/>
          <w:lang w:val="es-AR"/>
        </w:rPr>
        <w:t xml:space="preserve">las habilidades argumentativas en niños pequeños pueden distinguirse investigaciones de corte cognitivo y otras centradas en el desempeño discursivo de los pequeños.  En el primer grupo se destacan una serie trabajos realizados por Kuhn y </w:t>
      </w:r>
      <w:r>
        <w:rPr>
          <w:rStyle w:val="hpsatn"/>
          <w:color w:val="000000"/>
          <w:lang w:val="es-AR"/>
        </w:rPr>
        <w:t xml:space="preserve">colaboradores entre los cuales cabe mencionar el trabajo dedicado al estudio del pensamiento como razonamiento (Kuhn, 1992).  En él se analiza el tipo de evidencia que niños de 3º, 6º y 9º grado proveen  como apoyo a una teoría de sentido común.  Se empleó un cuestionario de elicitación estructurado en el cual las teorías y la evidencia estaban altamente restringidas.  Los resultados mostraron diferencias significativas entre las habilidades de los niños de 9º grado y las de los otros dos grados.  Asimismo mostraron que en los niños de  9º grado, el nivel académico de la escuela a la que asistían los niños predecía su desempeño.  </w:t>
      </w:r>
    </w:p>
    <w:p w:rsidR="00227659" w:rsidRDefault="00F235DD">
      <w:pPr>
        <w:spacing w:line="480" w:lineRule="auto"/>
        <w:ind w:hanging="13"/>
        <w:jc w:val="both"/>
        <w:rPr>
          <w:rStyle w:val="hpsatn"/>
          <w:color w:val="000000"/>
          <w:lang w:val="es-AR"/>
        </w:rPr>
      </w:pPr>
      <w:r>
        <w:rPr>
          <w:rStyle w:val="hpsatn"/>
          <w:color w:val="000000"/>
          <w:lang w:val="es-AR"/>
        </w:rPr>
        <w:tab/>
      </w:r>
      <w:r>
        <w:rPr>
          <w:rStyle w:val="hpsatn"/>
          <w:color w:val="000000"/>
          <w:lang w:val="es-AR"/>
        </w:rPr>
        <w:tab/>
        <w:t xml:space="preserve">Los resultados del estudio mencionado coinciden con los de otro estudio (Kuhn, 1992) realizado con adultos de distintas edades y niveles de escolarización a partir de un instrumento de elicitación menos estructurado.  La comparación del desempeño en ambos estudios mostró que la estructuración del instrumento de elicitación favorece la puesta en juego de argumentaciones.  Por ello, Kuhn concluye que las habilidades argumentativas y de razonamiento inicialmente se desplegarán en contextos específicos en los que el contexto provee un soporte alto, para luego, gradualmente, extenderse a otros.  A partir de los </w:t>
      </w:r>
      <w:r>
        <w:rPr>
          <w:rStyle w:val="hpsatn"/>
          <w:color w:val="000000"/>
          <w:lang w:val="es-AR"/>
        </w:rPr>
        <w:lastRenderedPageBreak/>
        <w:t xml:space="preserve">resultados de ambos estudios, Kuhn sostiene que en las habilidades argumentativas incide no solo el nivel de escolaridad alcanzado sino también el nivel de la escolarización recibida.  En coincidencia con Silvestri (2001) y Faigenbaum (2012), afirma que estas habilidades están relacionadas con tipos de experiencia asociados a la educación.  </w:t>
      </w:r>
    </w:p>
    <w:p w:rsidR="00227659" w:rsidRDefault="00F235DD">
      <w:pPr>
        <w:spacing w:line="480" w:lineRule="auto"/>
        <w:ind w:hanging="13"/>
        <w:jc w:val="both"/>
        <w:rPr>
          <w:color w:val="000000"/>
          <w:lang w:val="es-AR"/>
        </w:rPr>
      </w:pPr>
      <w:r>
        <w:rPr>
          <w:rStyle w:val="hpsatn"/>
          <w:color w:val="000000"/>
          <w:lang w:val="es-AR"/>
        </w:rPr>
        <w:tab/>
      </w:r>
      <w:r>
        <w:rPr>
          <w:rStyle w:val="hpsatn"/>
          <w:color w:val="000000"/>
          <w:lang w:val="es-AR"/>
        </w:rPr>
        <w:tab/>
        <w:t>Asimismo, en una revisión de la literatura acerca de la investigación psicológica y la argumentación,</w:t>
      </w:r>
      <w:r>
        <w:rPr>
          <w:rStyle w:val="hpsatn"/>
          <w:i/>
          <w:color w:val="000000"/>
          <w:lang w:val="es-AR"/>
        </w:rPr>
        <w:t xml:space="preserve"> </w:t>
      </w:r>
      <w:r>
        <w:rPr>
          <w:rStyle w:val="hpsatn"/>
          <w:color w:val="000000"/>
          <w:lang w:val="es-AR"/>
        </w:rPr>
        <w:t>Voss y van Dyke (2001) exponen los resultados de otro trabajo de Kuhn (2001) en el que examinó a niños de 4 y 6 años en una tarea en la que tenían que elegir, entre dos enunciados, aquel que mejor defendiera un punto de vista.  En la tarea se evidenció que, mientras que los niños de 4 años mezclan justificaciones que exponen maneras y causas, los niños de 6 años ya pueden distinguirlas adecuadamente.</w:t>
      </w:r>
    </w:p>
    <w:p w:rsidR="00227659" w:rsidRDefault="00F235DD">
      <w:pPr>
        <w:tabs>
          <w:tab w:val="left" w:pos="720"/>
          <w:tab w:val="left" w:pos="900"/>
        </w:tabs>
        <w:spacing w:line="480" w:lineRule="auto"/>
        <w:jc w:val="both"/>
        <w:rPr>
          <w:color w:val="000000"/>
          <w:lang w:val="es-AR"/>
        </w:rPr>
      </w:pPr>
      <w:r>
        <w:rPr>
          <w:color w:val="000000"/>
          <w:lang w:val="es-AR"/>
        </w:rPr>
        <w:tab/>
        <w:t xml:space="preserve">Por su parte, Wyman, Rakoczy y Tomasello (2009) atendieron a la especificidad contextual de las reglas normativas en situaciones de juego dramático en niños de 3 años de distintos grupos socioeconómicos.  El estudio implicó dos situaciones experimentales en las que un títere se incluía en un juego simbólico con objetos entre el investigador y el niño, que había comenzado a desarrollarse en forma previa a la inclusión del títere.  En la primera situación, el títere manipulaba el objeto con su función real y no con la establecida previamente en el juego.  En el segundo experimento, el niño y el experimentador desplegaban dos juegos simbólicos distintos, en los que también manipulaban objetos con funciones ficcionales.  El títere invertía el uso de los objetos en ellos.  Los resultados </w:t>
      </w:r>
      <w:r>
        <w:rPr>
          <w:rStyle w:val="hps"/>
          <w:color w:val="000000"/>
        </w:rPr>
        <w:t xml:space="preserve">demuestran que </w:t>
      </w:r>
      <w:r>
        <w:rPr>
          <w:rStyle w:val="hps"/>
          <w:color w:val="000000"/>
          <w:lang w:val="es-AR"/>
        </w:rPr>
        <w:t xml:space="preserve">ya a los 3 años de edad </w:t>
      </w:r>
      <w:r>
        <w:rPr>
          <w:rStyle w:val="hps"/>
          <w:color w:val="000000"/>
        </w:rPr>
        <w:t>los niños</w:t>
      </w:r>
      <w:r>
        <w:rPr>
          <w:color w:val="000000"/>
        </w:rPr>
        <w:t xml:space="preserve"> </w:t>
      </w:r>
      <w:r>
        <w:rPr>
          <w:rStyle w:val="hps"/>
          <w:color w:val="000000"/>
        </w:rPr>
        <w:t>comprenden</w:t>
      </w:r>
      <w:r>
        <w:rPr>
          <w:color w:val="000000"/>
        </w:rPr>
        <w:t xml:space="preserve"> </w:t>
      </w:r>
      <w:r>
        <w:rPr>
          <w:rStyle w:val="hps"/>
          <w:color w:val="000000"/>
        </w:rPr>
        <w:t>la distinción</w:t>
      </w:r>
      <w:r>
        <w:rPr>
          <w:color w:val="000000"/>
        </w:rPr>
        <w:t xml:space="preserve"> entre ficción y</w:t>
      </w:r>
      <w:r>
        <w:rPr>
          <w:rStyle w:val="hps"/>
          <w:color w:val="000000"/>
        </w:rPr>
        <w:t xml:space="preserve"> realidad</w:t>
      </w:r>
      <w:r>
        <w:rPr>
          <w:color w:val="000000"/>
        </w:rPr>
        <w:t xml:space="preserve">, y la distinción </w:t>
      </w:r>
      <w:r>
        <w:rPr>
          <w:rStyle w:val="hps"/>
          <w:color w:val="000000"/>
        </w:rPr>
        <w:t>entre identidades</w:t>
      </w:r>
      <w:r>
        <w:rPr>
          <w:color w:val="000000"/>
        </w:rPr>
        <w:t xml:space="preserve"> </w:t>
      </w:r>
      <w:r>
        <w:rPr>
          <w:rStyle w:val="hps"/>
          <w:color w:val="000000"/>
        </w:rPr>
        <w:t>diferentes en la ficción</w:t>
      </w:r>
      <w:r>
        <w:rPr>
          <w:color w:val="000000"/>
        </w:rPr>
        <w:t xml:space="preserve">, </w:t>
      </w:r>
      <w:r>
        <w:rPr>
          <w:rStyle w:val="hps"/>
          <w:color w:val="000000"/>
        </w:rPr>
        <w:t>como normativa</w:t>
      </w:r>
      <w:r>
        <w:rPr>
          <w:color w:val="000000"/>
          <w:lang w:val="es-AR"/>
        </w:rPr>
        <w:t xml:space="preserve"> y pueden apelar argumentativamente a ellas para sancionar comportamientos inadecuados de los personajes en función del contexto específico en el que se encuentren.</w:t>
      </w:r>
    </w:p>
    <w:p w:rsidR="00227659" w:rsidRDefault="00F235DD">
      <w:pPr>
        <w:tabs>
          <w:tab w:val="left" w:pos="720"/>
          <w:tab w:val="left" w:pos="900"/>
        </w:tabs>
        <w:spacing w:line="480" w:lineRule="auto"/>
        <w:jc w:val="both"/>
        <w:rPr>
          <w:rStyle w:val="hpsatn"/>
          <w:color w:val="000000"/>
          <w:lang w:val="es-AR"/>
        </w:rPr>
      </w:pPr>
      <w:r>
        <w:rPr>
          <w:color w:val="000000"/>
          <w:lang w:val="es-AR"/>
        </w:rPr>
        <w:tab/>
      </w:r>
      <w:r>
        <w:rPr>
          <w:color w:val="000000"/>
        </w:rPr>
        <w:t xml:space="preserve">Por otra parte, </w:t>
      </w:r>
      <w:r>
        <w:rPr>
          <w:color w:val="000000"/>
          <w:lang w:val="es-AR"/>
        </w:rPr>
        <w:t xml:space="preserve">Mercier (2011) realiza una revisión de diversos trabajos sobre desarrollo infantil y argumentación.  A partir de ella, Mercier confirma las predicciones de la </w:t>
      </w:r>
      <w:r>
        <w:rPr>
          <w:color w:val="000000"/>
          <w:lang w:val="es-AR"/>
        </w:rPr>
        <w:lastRenderedPageBreak/>
        <w:t>Teoría Argumentativa del Razonamiento (Sperber, 2001; Sperber y Mercier, 2012) para el desempeño de los niños, a saber: que los niños poseen habilidades argumentativas básicas; que razonan espontáneamente en grupos y obtienen beneficios por razonar colectivamente; y que el razonamiento infantil muestra preferencia por la confirmación desde una edad temprana.  Asimismo señala que si bien estas habilidades se encuentran presentes en los niños, no se encuentran desarrolladas por completo, por lo que requieren de aprendizaje y entrenamiento para su expresión más elaborada.</w:t>
      </w:r>
    </w:p>
    <w:p w:rsidR="00227659" w:rsidRDefault="00F235DD">
      <w:pPr>
        <w:spacing w:line="480" w:lineRule="auto"/>
        <w:ind w:hanging="13"/>
        <w:jc w:val="both"/>
        <w:rPr>
          <w:rStyle w:val="hpsatn"/>
          <w:color w:val="000000"/>
          <w:lang w:val="es-AR"/>
        </w:rPr>
      </w:pPr>
      <w:r>
        <w:rPr>
          <w:rStyle w:val="hpsatn"/>
          <w:color w:val="000000"/>
          <w:lang w:val="es-AR"/>
        </w:rPr>
        <w:t xml:space="preserve"> </w:t>
      </w:r>
      <w:r>
        <w:rPr>
          <w:rStyle w:val="hpsatn"/>
          <w:color w:val="000000"/>
          <w:lang w:val="es-AR"/>
        </w:rPr>
        <w:tab/>
        <w:t xml:space="preserve">En esta línea, Bernard, Mercier y Clément (2012) estudiaron el uso epistémico del conector </w:t>
      </w:r>
      <w:r>
        <w:rPr>
          <w:rStyle w:val="hpsatn"/>
          <w:i/>
          <w:color w:val="000000"/>
          <w:lang w:val="es-AR"/>
        </w:rPr>
        <w:t>porque,</w:t>
      </w:r>
      <w:r>
        <w:rPr>
          <w:rStyle w:val="hpsatn"/>
          <w:color w:val="000000"/>
          <w:lang w:val="es-AR"/>
        </w:rPr>
        <w:t xml:space="preserve"> en tanto implica la introducción de un enunciado con valor argumentativo en la interacción.  En un estudio experimental con niños de 3, 4 y 5 años de sectores socioeconómicos medios y medios altos, los investigadores hallaron diferencias significativas en dicho uso a partir de los 4 años, por lo que concluyen que a esa edad los niños ya poseen un conocimiento genuino del uso epistémico del conector </w:t>
      </w:r>
      <w:r>
        <w:rPr>
          <w:rStyle w:val="hpsatn"/>
          <w:i/>
          <w:color w:val="000000"/>
          <w:lang w:val="es-AR"/>
        </w:rPr>
        <w:t>porque</w:t>
      </w:r>
      <w:r>
        <w:rPr>
          <w:rStyle w:val="hpsatn"/>
          <w:color w:val="000000"/>
          <w:lang w:val="es-AR"/>
        </w:rPr>
        <w:t xml:space="preserve">.  </w:t>
      </w:r>
    </w:p>
    <w:p w:rsidR="00227659" w:rsidRDefault="00F235DD">
      <w:pPr>
        <w:spacing w:line="480" w:lineRule="auto"/>
        <w:ind w:hanging="13"/>
        <w:jc w:val="both"/>
        <w:rPr>
          <w:rStyle w:val="hpsatn"/>
          <w:color w:val="000000"/>
          <w:lang w:val="es-AR"/>
        </w:rPr>
      </w:pPr>
      <w:r>
        <w:rPr>
          <w:rStyle w:val="hpsatn"/>
          <w:color w:val="000000"/>
          <w:lang w:val="es-AR"/>
        </w:rPr>
        <w:tab/>
      </w:r>
      <w:r>
        <w:rPr>
          <w:rStyle w:val="hpsatn"/>
          <w:color w:val="000000"/>
          <w:lang w:val="es-AR"/>
        </w:rPr>
        <w:tab/>
        <w:t xml:space="preserve">Por su parte Levy y Nelson (Nelson, 1996), a partir del análisis longitudinal del discurso de una niña, Emily, al momento de dormir, entre los 21 y 36 meses de edad, muestran el desarrollo del uso del término </w:t>
      </w:r>
      <w:r>
        <w:rPr>
          <w:rStyle w:val="hpsatn"/>
          <w:i/>
          <w:color w:val="000000"/>
          <w:lang w:val="es-AR"/>
        </w:rPr>
        <w:t xml:space="preserve">porque.  </w:t>
      </w:r>
      <w:r>
        <w:rPr>
          <w:rStyle w:val="hpsatn"/>
          <w:color w:val="000000"/>
          <w:lang w:val="es-AR"/>
        </w:rPr>
        <w:t xml:space="preserve">Los primeros usos de </w:t>
      </w:r>
      <w:r>
        <w:rPr>
          <w:rStyle w:val="hpsatn"/>
          <w:i/>
          <w:color w:val="000000"/>
          <w:lang w:val="es-AR"/>
        </w:rPr>
        <w:t>porque,</w:t>
      </w:r>
      <w:r>
        <w:rPr>
          <w:rStyle w:val="hpsatn"/>
          <w:color w:val="000000"/>
          <w:lang w:val="es-AR"/>
        </w:rPr>
        <w:t xml:space="preserve"> a los 21 meses, estaban anclados en las interacciones con los adultos en el marco de contextos discursivos específicos, ligados al momento de ir a dormir.  El uso del término era el de un conector que vinculaba “dormir” o “cama” con cualquier otro enunciado que refería eventos rutinarios.  En estos casos, los usos de </w:t>
      </w:r>
      <w:r>
        <w:rPr>
          <w:rStyle w:val="hpsatn"/>
          <w:i/>
          <w:color w:val="000000"/>
          <w:lang w:val="es-AR"/>
        </w:rPr>
        <w:t>porque</w:t>
      </w:r>
      <w:r>
        <w:rPr>
          <w:rStyle w:val="hpsatn"/>
          <w:color w:val="000000"/>
          <w:lang w:val="es-AR"/>
        </w:rPr>
        <w:t xml:space="preserve"> constituían generalizaciones pragmáticas basadas en relaciones distribucionales a partir del habla adulta.  Posteriormente, entre los 30 y 36 meses, </w:t>
      </w:r>
      <w:r>
        <w:rPr>
          <w:rStyle w:val="hpsatn"/>
          <w:i/>
          <w:color w:val="000000"/>
          <w:lang w:val="es-AR"/>
        </w:rPr>
        <w:t>porque</w:t>
      </w:r>
      <w:r>
        <w:rPr>
          <w:rStyle w:val="hpsatn"/>
          <w:color w:val="000000"/>
          <w:lang w:val="es-AR"/>
        </w:rPr>
        <w:t xml:space="preserve"> comenzó a coocurrir con una cláusula coordinada introducida por </w:t>
      </w:r>
      <w:r>
        <w:rPr>
          <w:rStyle w:val="hpsatn"/>
          <w:i/>
          <w:color w:val="000000"/>
          <w:lang w:val="es-AR"/>
        </w:rPr>
        <w:t>pero</w:t>
      </w:r>
      <w:r>
        <w:rPr>
          <w:rStyle w:val="hpsatn"/>
          <w:color w:val="000000"/>
          <w:lang w:val="es-AR"/>
        </w:rPr>
        <w:t xml:space="preserve">.  Esta coocurrencia formaba parte de un patrón en las negociaciones con sus padres previas al irse a dormir: el patrón de discurso incluía un enunciado frecuentemente negativo, seguido de una justificación con </w:t>
      </w:r>
      <w:r>
        <w:rPr>
          <w:rStyle w:val="hpsatn"/>
          <w:i/>
          <w:color w:val="000000"/>
          <w:lang w:val="es-AR"/>
        </w:rPr>
        <w:t>porque</w:t>
      </w:r>
      <w:r>
        <w:rPr>
          <w:rStyle w:val="hpsatn"/>
          <w:color w:val="000000"/>
          <w:lang w:val="es-AR"/>
        </w:rPr>
        <w:t>,</w:t>
      </w:r>
      <w:r>
        <w:rPr>
          <w:rStyle w:val="hpsatn"/>
          <w:i/>
          <w:color w:val="000000"/>
          <w:lang w:val="es-AR"/>
        </w:rPr>
        <w:t xml:space="preserve"> </w:t>
      </w:r>
      <w:r>
        <w:rPr>
          <w:rStyle w:val="hpsatn"/>
          <w:color w:val="000000"/>
          <w:lang w:val="es-AR"/>
        </w:rPr>
        <w:t xml:space="preserve">que algunas veces incluía un compromiso </w:t>
      </w:r>
      <w:r>
        <w:rPr>
          <w:rStyle w:val="hpsatn"/>
          <w:i/>
          <w:color w:val="000000"/>
          <w:lang w:val="es-AR"/>
        </w:rPr>
        <w:t xml:space="preserve">pero </w:t>
      </w:r>
      <w:r>
        <w:rPr>
          <w:rStyle w:val="hpsatn"/>
          <w:color w:val="000000"/>
          <w:lang w:val="es-AR"/>
        </w:rPr>
        <w:t xml:space="preserve">(p.e.: de </w:t>
      </w:r>
      <w:r>
        <w:rPr>
          <w:rStyle w:val="hpsatn"/>
          <w:color w:val="000000"/>
          <w:lang w:val="es-AR"/>
        </w:rPr>
        <w:lastRenderedPageBreak/>
        <w:t xml:space="preserve">acuerdo, agarrá el juguete pero hacelo rápido porque te tenés que ir a dormir).  Estos usos reflejan una mejor comprensión del formato de la justificación psicológica: acción deseada + contraste negativo (pero) + compromiso + explicación (porque).  Este análisis muestra que en sus primeros usos, los niños no poseen un conocimiento completo de las formas lingüísticas: el uso de </w:t>
      </w:r>
      <w:r>
        <w:rPr>
          <w:rStyle w:val="hpsatn"/>
          <w:i/>
          <w:color w:val="000000"/>
          <w:lang w:val="es-AR"/>
        </w:rPr>
        <w:t xml:space="preserve">porque </w:t>
      </w:r>
      <w:r>
        <w:rPr>
          <w:rStyle w:val="hpsatn"/>
          <w:color w:val="000000"/>
          <w:lang w:val="es-AR"/>
        </w:rPr>
        <w:t>es un caso paradigmático de “uso previo al significado” (</w:t>
      </w:r>
      <w:r>
        <w:rPr>
          <w:rStyle w:val="hpsatn"/>
          <w:i/>
          <w:iCs/>
          <w:color w:val="000000"/>
          <w:lang w:val="es-AR"/>
        </w:rPr>
        <w:t>use before meaning</w:t>
      </w:r>
      <w:r>
        <w:rPr>
          <w:rStyle w:val="hpsatn"/>
          <w:color w:val="000000"/>
          <w:lang w:val="es-AR"/>
        </w:rPr>
        <w:t>).  En los años preescolares se produce un proceso de sistematización semántica que muestra el análisis progresivo que los niños hacen de los componentes del significado de las palabras.</w:t>
      </w:r>
    </w:p>
    <w:p w:rsidR="00227659" w:rsidRDefault="00F235DD">
      <w:pPr>
        <w:spacing w:line="480" w:lineRule="auto"/>
        <w:ind w:hanging="13"/>
        <w:jc w:val="both"/>
        <w:rPr>
          <w:color w:val="000000"/>
        </w:rPr>
      </w:pPr>
      <w:r>
        <w:rPr>
          <w:rStyle w:val="hpsatn"/>
          <w:color w:val="000000"/>
          <w:lang w:val="es-AR"/>
        </w:rPr>
        <w:tab/>
      </w:r>
      <w:r>
        <w:rPr>
          <w:rStyle w:val="hpsatn"/>
          <w:color w:val="000000"/>
          <w:lang w:val="es-AR"/>
        </w:rPr>
        <w:tab/>
        <w:t xml:space="preserve">Otros estudios, aún cuando no se han focalizado en el uso argumentativo de estos conectores, han mostrado que ellos, al igual que las nominalizaciones y las subordinaciones, configuran un estilo de lenguaje descontextualizado (Simons y Murphy, 1988; Cook-Gumperz, 1988; Manrique y Rosemberg, 2009; Rosemberg, 2008) que se afianza progresivamente en los años preescolares en situaciones de juego.  Así por ejemplo, Pellegrini (1985), Manrique y Rosemberg (2009) y Migdalek, Rosemberg y Arrúe (2013) observaron el uso de estos recursos en situaciones de juego dramático para crear, mediante el lenguaje, una realidad ficcional que se distingue del </w:t>
      </w:r>
      <w:r>
        <w:rPr>
          <w:rStyle w:val="hpsatn"/>
          <w:i/>
          <w:color w:val="000000"/>
          <w:lang w:val="es-AR"/>
        </w:rPr>
        <w:t>mundo real</w:t>
      </w:r>
      <w:r>
        <w:rPr>
          <w:rStyle w:val="hpsatn"/>
          <w:color w:val="000000"/>
          <w:lang w:val="es-AR"/>
        </w:rPr>
        <w:t>.</w:t>
      </w:r>
    </w:p>
    <w:p w:rsidR="00227659" w:rsidRDefault="00F235DD">
      <w:pPr>
        <w:tabs>
          <w:tab w:val="left" w:pos="720"/>
          <w:tab w:val="left" w:pos="900"/>
        </w:tabs>
        <w:spacing w:line="480" w:lineRule="auto"/>
        <w:jc w:val="both"/>
        <w:rPr>
          <w:color w:val="000000"/>
        </w:rPr>
      </w:pPr>
      <w:r>
        <w:rPr>
          <w:color w:val="000000"/>
        </w:rPr>
        <w:tab/>
        <w:t>Por su parte, entre los estudios que abordaron la argumentación infantil desde una perspectiva discursiva, se encuentran  estudios que recurrieron a las categorías propias de las teorías de la argumentación (Perelman y Olbrechts-Tyteca, 1989; Toulmin, 1958; van Eemeren, Grootendorst y Snoeck, 2006) para constatar su empleo parte de los niños;  y  otros que, respondiendo a una lógica cualitativa, desarrollan sus propias categorizaciones para dar cuenta de la argumentación infantil.</w:t>
      </w:r>
    </w:p>
    <w:p w:rsidR="00227659" w:rsidRDefault="00F235DD">
      <w:pPr>
        <w:tabs>
          <w:tab w:val="left" w:pos="720"/>
          <w:tab w:val="left" w:pos="900"/>
        </w:tabs>
        <w:spacing w:line="480" w:lineRule="auto"/>
        <w:jc w:val="both"/>
        <w:rPr>
          <w:color w:val="000000"/>
        </w:rPr>
      </w:pPr>
      <w:r>
        <w:rPr>
          <w:color w:val="000000"/>
        </w:rPr>
        <w:tab/>
        <w:t xml:space="preserve">Dentro de los estudios que recurren a categorías previas, </w:t>
      </w:r>
      <w:r>
        <w:rPr>
          <w:color w:val="000000"/>
          <w:lang w:val="es-AR"/>
        </w:rPr>
        <w:t xml:space="preserve">Crespo (1995) explora la adquisición espontánea del argumento en un niño de 2 y 3 años de edad y su posterior enriquecimiento en dos niños de 5 y 6 años de edad.  Sus resultados concuerdan con los de </w:t>
      </w:r>
      <w:r>
        <w:rPr>
          <w:color w:val="000000"/>
          <w:lang w:val="es-AR"/>
        </w:rPr>
        <w:lastRenderedPageBreak/>
        <w:t xml:space="preserve">Peronard (1991) en tanto los primeros argumentos son predominantemente argumentos de acción.  Utilizando la clasificación de tipos de argumentos de Perelman y </w:t>
      </w:r>
      <w:r>
        <w:rPr>
          <w:rFonts w:eastAsia="Calibri"/>
          <w:color w:val="000000"/>
          <w:lang w:val="es-AR"/>
        </w:rPr>
        <w:t>Olbrechts Tyteca</w:t>
      </w:r>
      <w:r>
        <w:rPr>
          <w:color w:val="000000"/>
          <w:lang w:val="es-AR"/>
        </w:rPr>
        <w:t xml:space="preserve"> (1989) encuentra que entre los 2 y 3 años, los niños recurren a argumentos basados en la estructura de lo real por sucesión -causalidad, relación medios fines - y por coexistencia –autoridad materna, propiedad de los objetos-.  Asimismo, recurren a argumentos de transposición –modelo, ilustración-.  Entre los 5 y 6 años, los niños produjeron argumentos también basados en la estructura de lo real -causalidad, coexistencia-, argumentos por transposición -ilustración, modelo, analogía- y de modo incipiente, argumentos cuasilógicos – adición, incompatibilidad-.  A partir de ello, la autora sugiere que el niño pareciera buscar las “razones” de sus primeros juicios en las relaciones que percibe en su propia actividad y en el contexto de la realidad inmediata, para luego ir más allá, a través de la ilustración y el modelo.</w:t>
      </w:r>
    </w:p>
    <w:p w:rsidR="00227659" w:rsidRDefault="00F235DD">
      <w:pPr>
        <w:spacing w:line="480" w:lineRule="auto"/>
        <w:ind w:hanging="13"/>
        <w:jc w:val="both"/>
        <w:rPr>
          <w:color w:val="000000"/>
          <w:lang w:val="es-AR"/>
        </w:rPr>
      </w:pPr>
      <w:r>
        <w:rPr>
          <w:color w:val="000000"/>
        </w:rPr>
        <w:tab/>
      </w:r>
      <w:r>
        <w:rPr>
          <w:color w:val="000000"/>
        </w:rPr>
        <w:tab/>
      </w:r>
      <w:r>
        <w:rPr>
          <w:color w:val="000000"/>
          <w:lang w:val="es-AR"/>
        </w:rPr>
        <w:t xml:space="preserve">Asimismo, Molina (2012) indaga sobre el rol de las emociones en la argumentación infantil.  A través del análisis de una </w:t>
      </w:r>
      <w:r>
        <w:rPr>
          <w:i/>
          <w:iCs/>
          <w:color w:val="000000"/>
          <w:lang w:val="es-AR"/>
        </w:rPr>
        <w:t>discusión crítica</w:t>
      </w:r>
      <w:r>
        <w:rPr>
          <w:color w:val="000000"/>
          <w:lang w:val="es-AR"/>
        </w:rPr>
        <w:t xml:space="preserve"> (van Eemeren, Grootendorst y Snoeck, 2006) que niños de 5 años de edad mantienen en el marco de una clase de artes plásticas en un jardín de infantes de Argentina, muestra cómo los niños intentan producir temor entre sus interlocutores para convencerlos de sus afirmaciones.  Asimismo, aporta evidencia de cómo tanto el uso del </w:t>
      </w:r>
      <w:r>
        <w:rPr>
          <w:i/>
          <w:color w:val="000000"/>
          <w:lang w:val="es-AR"/>
        </w:rPr>
        <w:t>argumentum ad misericordiam</w:t>
      </w:r>
      <w:r>
        <w:rPr>
          <w:color w:val="000000"/>
          <w:lang w:val="es-AR"/>
        </w:rPr>
        <w:t xml:space="preserve"> como de otros argumentos </w:t>
      </w:r>
      <w:r>
        <w:rPr>
          <w:i/>
          <w:color w:val="000000"/>
          <w:lang w:val="es-AR"/>
        </w:rPr>
        <w:t>ad passiones</w:t>
      </w:r>
      <w:r>
        <w:rPr>
          <w:color w:val="000000"/>
          <w:lang w:val="es-AR"/>
        </w:rPr>
        <w:t xml:space="preserve"> –considerados falaces desde la pragmadialéctica- pueden articularse con esquemas argumentativos adecuados lógicamente.  Sin embargo, desde esta postura se afirma que, si este tipo de recursos no se utiliza con moderación y en relación directa con una tesis, sí se corre el peligro de producir una argumentación falaz.</w:t>
      </w:r>
    </w:p>
    <w:p w:rsidR="00227659" w:rsidRDefault="00F235DD">
      <w:pPr>
        <w:spacing w:line="480" w:lineRule="auto"/>
        <w:ind w:hanging="13"/>
        <w:jc w:val="both"/>
        <w:rPr>
          <w:color w:val="000000"/>
          <w:lang w:val="es-AR"/>
        </w:rPr>
      </w:pPr>
      <w:r>
        <w:rPr>
          <w:color w:val="000000"/>
          <w:lang w:val="es-AR"/>
        </w:rPr>
        <w:tab/>
      </w:r>
      <w:r>
        <w:rPr>
          <w:color w:val="000000"/>
          <w:lang w:val="es-AR"/>
        </w:rPr>
        <w:tab/>
        <w:t xml:space="preserve">Por su parte, entre los trabajos discursivos de índole cualitativa, cabe mencionar el de Dunn y Munn (1986), quienes estudian las justificaciones que niños de entre 18 meses a 3 años proveen en disputas en el contexto del hogar con hermanos mayores y madres.  </w:t>
      </w:r>
      <w:r>
        <w:rPr>
          <w:color w:val="000000"/>
          <w:lang w:val="es-AR"/>
        </w:rPr>
        <w:lastRenderedPageBreak/>
        <w:t xml:space="preserve">Encuentran que los niños inicialmente sostienen sus puntos de vista a través de una “estructura circular”, con justificaciones basadas en sus sentimientos, para luego, con el paso del tiempo, comenzar a utilizar reglas sociales y consecuencias materiales en apoyo a sus posiciones.  </w:t>
      </w:r>
    </w:p>
    <w:p w:rsidR="00227659" w:rsidRDefault="00F235DD">
      <w:pPr>
        <w:spacing w:line="480" w:lineRule="auto"/>
        <w:ind w:hanging="13"/>
        <w:jc w:val="both"/>
        <w:rPr>
          <w:color w:val="000000"/>
          <w:lang w:val="es-AR"/>
        </w:rPr>
      </w:pPr>
      <w:r>
        <w:rPr>
          <w:color w:val="000000"/>
          <w:lang w:val="es-AR"/>
        </w:rPr>
        <w:tab/>
      </w:r>
      <w:r>
        <w:rPr>
          <w:color w:val="000000"/>
          <w:lang w:val="es-AR"/>
        </w:rPr>
        <w:tab/>
        <w:t>Asimismo, Eisenberg (1987) ha mostrado que los niños pequeños de 3 a 5 años pueden proveer evidencias y razones en respuesta a un desacuerdo, y ya desde los tres años pueden anticipar el punto de vista de su adversario.  En un estudio longitudinal con dos niñas desde los 22 meses hasta los 3 años, ha observado que las pequeñas utilizan para sostener sus posiciones la insistencia, el soporte verbal, la mitigación, la apelación a otro individuo, la amenaza, el abuso verbal y la oferta de un compromiso.  La autora encuentra diferencias en el uso de estas estrategias en las disputas según el rol funcional que los niños ocupen en la disputa -oponente (</w:t>
      </w:r>
      <w:r>
        <w:rPr>
          <w:i/>
          <w:color w:val="000000"/>
          <w:lang w:val="es-AR"/>
        </w:rPr>
        <w:t>opposer</w:t>
      </w:r>
      <w:r>
        <w:rPr>
          <w:color w:val="000000"/>
          <w:lang w:val="es-AR"/>
        </w:rPr>
        <w:t>) y enfrentado (</w:t>
      </w:r>
      <w:r>
        <w:rPr>
          <w:i/>
          <w:color w:val="000000"/>
          <w:lang w:val="es-AR"/>
        </w:rPr>
        <w:t>opposee</w:t>
      </w:r>
      <w:r>
        <w:rPr>
          <w:color w:val="000000"/>
          <w:lang w:val="es-AR"/>
        </w:rPr>
        <w:t>)- y la identidad de participantes –pares o padres-.  En tanto oponentes, se ven obligados a usar una variedad más amplia de estrategias que los enfrentados, como proveer evidencias o justificaciones.  Los enfrentados, en cambio, solo tienen que sostener su punto de vista.  En relación con la identidad, las niñas recién hacia el fin del estudio se encontraban diferenciando estrategias argumentativas en función del destinatario.</w:t>
      </w:r>
    </w:p>
    <w:p w:rsidR="00227659" w:rsidRDefault="00F235DD">
      <w:pPr>
        <w:tabs>
          <w:tab w:val="left" w:pos="540"/>
        </w:tabs>
        <w:spacing w:line="480" w:lineRule="auto"/>
        <w:ind w:hanging="13"/>
        <w:jc w:val="both"/>
        <w:rPr>
          <w:color w:val="000000"/>
          <w:lang w:val="es-AR"/>
        </w:rPr>
      </w:pPr>
      <w:r>
        <w:rPr>
          <w:color w:val="000000"/>
          <w:lang w:val="es-AR"/>
        </w:rPr>
        <w:tab/>
      </w:r>
      <w:r>
        <w:rPr>
          <w:color w:val="000000"/>
          <w:lang w:val="es-AR"/>
        </w:rPr>
        <w:tab/>
        <w:t xml:space="preserve">Por otra parte, Zadunaisky Ehrlich y Blum-Kulka (2010) analizaron eventos argumentativos en interacciones naturales entre niños preescolares de 3 centros educativos en Israel.  Los resultados muestran que los niños gestionan </w:t>
      </w:r>
      <w:r>
        <w:rPr>
          <w:rStyle w:val="hps"/>
          <w:color w:val="000000"/>
          <w:lang w:val="es-AR"/>
        </w:rPr>
        <w:t>el evento</w:t>
      </w:r>
      <w:r>
        <w:rPr>
          <w:color w:val="000000"/>
          <w:lang w:val="es-AR"/>
        </w:rPr>
        <w:t xml:space="preserve"> </w:t>
      </w:r>
      <w:r>
        <w:rPr>
          <w:rStyle w:val="hps"/>
          <w:color w:val="000000"/>
          <w:lang w:val="es-AR"/>
        </w:rPr>
        <w:t>argumentativo</w:t>
      </w:r>
      <w:r>
        <w:rPr>
          <w:color w:val="000000"/>
          <w:lang w:val="es-AR"/>
        </w:rPr>
        <w:t xml:space="preserve"> mediante </w:t>
      </w:r>
      <w:r>
        <w:rPr>
          <w:rStyle w:val="hps"/>
          <w:color w:val="000000"/>
          <w:lang w:val="es-AR"/>
        </w:rPr>
        <w:t>estrategias efectivas y</w:t>
      </w:r>
      <w:r>
        <w:rPr>
          <w:color w:val="000000"/>
          <w:lang w:val="es-AR"/>
        </w:rPr>
        <w:t xml:space="preserve"> </w:t>
      </w:r>
      <w:r>
        <w:rPr>
          <w:rStyle w:val="hps"/>
          <w:color w:val="000000"/>
          <w:lang w:val="es-AR"/>
        </w:rPr>
        <w:t>de base racional propias de la cultura</w:t>
      </w:r>
      <w:r>
        <w:rPr>
          <w:color w:val="000000"/>
          <w:lang w:val="es-AR"/>
        </w:rPr>
        <w:t xml:space="preserve"> </w:t>
      </w:r>
      <w:r>
        <w:rPr>
          <w:rStyle w:val="hps"/>
          <w:color w:val="000000"/>
          <w:lang w:val="es-AR"/>
        </w:rPr>
        <w:t>adulta, al tiempo que negocian sus relaciones sociales.</w:t>
      </w:r>
    </w:p>
    <w:p w:rsidR="00227659" w:rsidRDefault="00F235DD">
      <w:pPr>
        <w:spacing w:line="480" w:lineRule="auto"/>
        <w:ind w:hanging="13"/>
        <w:jc w:val="both"/>
        <w:rPr>
          <w:color w:val="000000"/>
        </w:rPr>
      </w:pPr>
      <w:r>
        <w:rPr>
          <w:color w:val="000000"/>
          <w:lang w:val="es-AR"/>
        </w:rPr>
        <w:tab/>
      </w:r>
      <w:r>
        <w:rPr>
          <w:color w:val="000000"/>
          <w:lang w:val="es-AR"/>
        </w:rPr>
        <w:tab/>
        <w:t xml:space="preserve">En síntesis, los trabajos antes mencionados han abordado de modo diverso la argumentación infantil, focalizando aspectos tanto cognitivos como discursivos; y recurriendo tanto a categorías elaboradas en función del discurso adulto o construyendo categorías de </w:t>
      </w:r>
      <w:r>
        <w:rPr>
          <w:color w:val="000000"/>
          <w:lang w:val="es-AR"/>
        </w:rPr>
        <w:lastRenderedPageBreak/>
        <w:t>modo cualitativo.  Sin embargo, ninguno de ellos ha considerado al juego como su unidad de análisis.  Por su parte, el amplio corpus de trabajos que han indagado la relación entre juego y desarrollo lingüístico no se había concentrado previamente en las habilidades argumentativas.  De allí que este trabajo tenga por objeto profundizar los resultados obtenidos en investigaciones previas (xxx) analizando comparativamente el empleo que los niños hacen de las estrategias argumentativas y los recursos lingüísticos que las configuran, en el marco de disputas en situaciones de juego en el jardín de infantes, en función de la edad de los niños y el tipo de juego.</w:t>
      </w:r>
    </w:p>
    <w:p w:rsidR="00227659" w:rsidRDefault="00227659">
      <w:pPr>
        <w:spacing w:line="480" w:lineRule="auto"/>
        <w:ind w:hanging="13"/>
        <w:jc w:val="both"/>
        <w:rPr>
          <w:color w:val="000000"/>
        </w:rPr>
      </w:pPr>
    </w:p>
    <w:p w:rsidR="00227659" w:rsidRDefault="00F235DD">
      <w:pPr>
        <w:spacing w:line="480" w:lineRule="auto"/>
        <w:ind w:hanging="13"/>
        <w:jc w:val="both"/>
        <w:rPr>
          <w:color w:val="000000"/>
          <w:lang w:val="es-AR"/>
        </w:rPr>
      </w:pPr>
      <w:r>
        <w:rPr>
          <w:b/>
          <w:bCs/>
          <w:color w:val="000000"/>
          <w:lang w:val="es-AR"/>
        </w:rPr>
        <w:t>Metodología</w:t>
      </w:r>
    </w:p>
    <w:p w:rsidR="00227659" w:rsidRDefault="00227659">
      <w:pPr>
        <w:spacing w:line="480" w:lineRule="auto"/>
        <w:jc w:val="both"/>
        <w:rPr>
          <w:color w:val="000000"/>
          <w:lang w:val="es-AR"/>
        </w:rPr>
      </w:pPr>
    </w:p>
    <w:p w:rsidR="00227659" w:rsidRDefault="00F235DD">
      <w:pPr>
        <w:spacing w:line="480" w:lineRule="auto"/>
        <w:jc w:val="both"/>
        <w:rPr>
          <w:color w:val="000000"/>
          <w:lang w:val="es-AR"/>
        </w:rPr>
      </w:pPr>
      <w:r>
        <w:rPr>
          <w:b/>
          <w:bCs/>
          <w:color w:val="000000"/>
          <w:lang w:val="es-AR"/>
        </w:rPr>
        <w:t>La estrategia general</w:t>
      </w:r>
    </w:p>
    <w:p w:rsidR="00227659" w:rsidRDefault="00227659">
      <w:pPr>
        <w:spacing w:line="480" w:lineRule="auto"/>
        <w:jc w:val="both"/>
        <w:rPr>
          <w:color w:val="000000"/>
          <w:lang w:val="es-AR"/>
        </w:rPr>
      </w:pPr>
    </w:p>
    <w:p w:rsidR="00227659" w:rsidRDefault="00F235DD">
      <w:pPr>
        <w:spacing w:line="480" w:lineRule="auto"/>
        <w:jc w:val="both"/>
        <w:rPr>
          <w:color w:val="000000"/>
          <w:lang w:val="es-AR"/>
        </w:rPr>
      </w:pPr>
      <w:r>
        <w:rPr>
          <w:color w:val="000000"/>
          <w:lang w:val="es-AR"/>
        </w:rPr>
        <w:t>La unidad de análisis del presente estudio está conformada por situaciones de juego en rincones</w:t>
      </w:r>
      <w:r>
        <w:rPr>
          <w:rStyle w:val="Refdenotaalpie2"/>
          <w:color w:val="000000"/>
          <w:lang w:val="es-AR"/>
        </w:rPr>
        <w:footnoteReference w:id="2"/>
      </w:r>
      <w:r>
        <w:rPr>
          <w:color w:val="000000"/>
          <w:lang w:val="es-AR"/>
        </w:rPr>
        <w:t xml:space="preserve"> observadas en las escuelas infantiles, a las que asisten niños de poblaciones urbano-marginadas </w:t>
      </w:r>
      <w:r>
        <w:rPr>
          <w:rFonts w:eastAsia="BatangChe"/>
          <w:color w:val="000000"/>
          <w:lang w:val="es-AR"/>
        </w:rPr>
        <w:t>de la Ciudad de Buenos Aires y el Conurbano Bonaerense</w:t>
      </w:r>
      <w:r>
        <w:rPr>
          <w:color w:val="000000"/>
          <w:lang w:val="es-AR"/>
        </w:rPr>
        <w:t>.  La elección de dicha actividad reside en su carácter distintivo en el Jardín de Infantes en Argentina, en tanto en función de ella se configura el espacio en las aulas de este nivel educativo (Sarlé, 2001).</w:t>
      </w:r>
    </w:p>
    <w:p w:rsidR="00227659" w:rsidRDefault="00F235DD">
      <w:pPr>
        <w:spacing w:line="480" w:lineRule="auto"/>
        <w:jc w:val="both"/>
        <w:rPr>
          <w:color w:val="000000"/>
          <w:lang w:val="es-AR"/>
        </w:rPr>
      </w:pPr>
      <w:r>
        <w:rPr>
          <w:color w:val="000000"/>
          <w:lang w:val="es-AR"/>
        </w:rPr>
        <w:tab/>
        <w:t>Dentro de las situaciones de juego, se consideraron, como sub-unidades de análisis, las disputas que se producían entre los niños en el juego.  Las definimos como el encuentro de dos puntos de vista opuestos.  Para determinar su alcance se consideró su resolución tanto a través de un acuerdo verbal como de un curso de acción posterior a favor de uno de los puntos de vista enfrentados.</w:t>
      </w:r>
    </w:p>
    <w:p w:rsidR="00227659" w:rsidRDefault="00F235DD">
      <w:pPr>
        <w:autoSpaceDE w:val="0"/>
        <w:spacing w:line="480" w:lineRule="auto"/>
        <w:jc w:val="both"/>
        <w:rPr>
          <w:rFonts w:eastAsia="BatangChe"/>
          <w:color w:val="000000"/>
          <w:lang w:val="es-AR"/>
        </w:rPr>
      </w:pPr>
      <w:r>
        <w:rPr>
          <w:color w:val="000000"/>
          <w:lang w:val="es-AR"/>
        </w:rPr>
        <w:lastRenderedPageBreak/>
        <w:tab/>
      </w:r>
      <w:r>
        <w:rPr>
          <w:rFonts w:eastAsia="BatangChe"/>
          <w:color w:val="000000"/>
          <w:lang w:val="es-AR"/>
        </w:rPr>
        <w:t xml:space="preserve">Participaron de este estudio 54 niños de 3 años distribuidos en dos salas, 63 niños de 4 años que asistían a otras dos salas y 122 niños de 5 años de edad distribuidos en 4 salas distintas.  Las maestras a cargo de cada sala informaron que ninguno de los niños presentaba retrasos madurativos.  </w:t>
      </w:r>
    </w:p>
    <w:p w:rsidR="00227659" w:rsidRDefault="00F235DD">
      <w:pPr>
        <w:autoSpaceDE w:val="0"/>
        <w:spacing w:line="480" w:lineRule="auto"/>
        <w:jc w:val="both"/>
        <w:rPr>
          <w:rFonts w:eastAsia="BatangChe"/>
          <w:b/>
          <w:color w:val="000000"/>
          <w:lang w:val="es-AR"/>
        </w:rPr>
      </w:pPr>
      <w:r>
        <w:rPr>
          <w:rFonts w:eastAsia="BatangChe"/>
          <w:color w:val="000000"/>
          <w:lang w:val="es-AR"/>
        </w:rPr>
        <w:tab/>
      </w:r>
    </w:p>
    <w:p w:rsidR="00227659" w:rsidRDefault="00F235DD">
      <w:pPr>
        <w:autoSpaceDE w:val="0"/>
        <w:spacing w:line="480" w:lineRule="auto"/>
        <w:jc w:val="both"/>
        <w:rPr>
          <w:color w:val="000000"/>
        </w:rPr>
      </w:pPr>
      <w:r>
        <w:rPr>
          <w:rFonts w:eastAsia="BatangChe"/>
          <w:b/>
          <w:color w:val="000000"/>
          <w:lang w:val="es-AR"/>
        </w:rPr>
        <w:t xml:space="preserve">Procedimientos de obtención de información </w:t>
      </w:r>
    </w:p>
    <w:p w:rsidR="00227659" w:rsidRDefault="00227659">
      <w:pPr>
        <w:autoSpaceDE w:val="0"/>
        <w:spacing w:line="480" w:lineRule="auto"/>
        <w:jc w:val="both"/>
        <w:rPr>
          <w:color w:val="000000"/>
        </w:rPr>
      </w:pPr>
    </w:p>
    <w:p w:rsidR="00227659" w:rsidRDefault="00F235DD">
      <w:pPr>
        <w:autoSpaceDE w:val="0"/>
        <w:spacing w:line="480" w:lineRule="auto"/>
        <w:ind w:firstLine="708"/>
        <w:jc w:val="both"/>
        <w:rPr>
          <w:color w:val="000000"/>
          <w:lang w:val="es-AR"/>
        </w:rPr>
      </w:pPr>
      <w:r>
        <w:rPr>
          <w:rFonts w:eastAsia="BatangChe"/>
          <w:color w:val="000000"/>
          <w:lang w:val="es-AR"/>
        </w:rPr>
        <w:t>Para dar cuenta de las estrategias argumentativas en las disputas en las situaciones lúdicas, se procedió a registrar las situaciones de juego en rincones en audio y video a través de la técnica de la observación no participante.  Se analizaron 15 horas de situaciones de juego en rincones -5 por cada edad considerada- durante las que se registraron 124 disputas entre pares.  El total se distribuyó de la siguiente manera: 32 disputas entre niños de 3 años; 29 disputas entre niños de 4 años y 63 entre pequeños de 5 años.</w:t>
      </w:r>
    </w:p>
    <w:p w:rsidR="00227659" w:rsidRDefault="00F235DD">
      <w:pPr>
        <w:spacing w:line="480" w:lineRule="auto"/>
        <w:jc w:val="both"/>
        <w:rPr>
          <w:rFonts w:eastAsia="BatangChe"/>
          <w:b/>
          <w:color w:val="000000"/>
          <w:lang w:val="es-AR"/>
        </w:rPr>
      </w:pPr>
      <w:r>
        <w:rPr>
          <w:color w:val="000000"/>
          <w:lang w:val="es-AR"/>
        </w:rPr>
        <w:tab/>
        <w:t xml:space="preserve">Los registros videofilmados se transcribieron siguiendo las pautas </w:t>
      </w:r>
      <w:r>
        <w:rPr>
          <w:rFonts w:eastAsia="Arial Unicode MS"/>
          <w:color w:val="000000"/>
          <w:lang w:val="es-AR"/>
        </w:rPr>
        <w:t xml:space="preserve">propuestas por el Análisis de la Conversación </w:t>
      </w:r>
      <w:r>
        <w:rPr>
          <w:color w:val="000000"/>
          <w:lang w:val="es-AR"/>
        </w:rPr>
        <w:t>(</w:t>
      </w:r>
      <w:r>
        <w:rPr>
          <w:rFonts w:eastAsia="Arial"/>
          <w:color w:val="000000"/>
          <w:lang w:val="es-AR"/>
        </w:rPr>
        <w:t xml:space="preserve">Sacks, Schegloff &amp; Jefferson, 1974; Calsamiglia y </w:t>
      </w:r>
      <w:r>
        <w:rPr>
          <w:color w:val="000000"/>
          <w:lang w:val="es-ES_tradnl"/>
        </w:rPr>
        <w:t xml:space="preserve">Tusón, 2007).  </w:t>
      </w:r>
    </w:p>
    <w:p w:rsidR="00227659" w:rsidRDefault="00227659">
      <w:pPr>
        <w:autoSpaceDE w:val="0"/>
        <w:spacing w:line="480" w:lineRule="auto"/>
        <w:jc w:val="both"/>
        <w:rPr>
          <w:rFonts w:eastAsia="BatangChe"/>
          <w:b/>
          <w:color w:val="000000"/>
          <w:lang w:val="es-AR"/>
        </w:rPr>
      </w:pPr>
    </w:p>
    <w:p w:rsidR="00227659" w:rsidRDefault="00F235DD">
      <w:pPr>
        <w:autoSpaceDE w:val="0"/>
        <w:spacing w:line="480" w:lineRule="auto"/>
        <w:jc w:val="both"/>
        <w:rPr>
          <w:rFonts w:eastAsia="BatangChe"/>
          <w:color w:val="000000"/>
          <w:lang w:val="es-AR"/>
        </w:rPr>
      </w:pPr>
      <w:r>
        <w:rPr>
          <w:rFonts w:eastAsia="BatangChe"/>
          <w:b/>
          <w:color w:val="000000"/>
          <w:lang w:val="es-AR"/>
        </w:rPr>
        <w:t>Procedimientos de análisis</w:t>
      </w:r>
    </w:p>
    <w:p w:rsidR="00227659" w:rsidRDefault="00227659">
      <w:pPr>
        <w:autoSpaceDE w:val="0"/>
        <w:spacing w:line="480" w:lineRule="auto"/>
        <w:ind w:firstLine="708"/>
        <w:jc w:val="both"/>
        <w:rPr>
          <w:rFonts w:eastAsia="BatangChe"/>
          <w:color w:val="000000"/>
          <w:lang w:val="es-AR"/>
        </w:rPr>
      </w:pPr>
    </w:p>
    <w:p w:rsidR="00227659" w:rsidRDefault="00F235DD">
      <w:pPr>
        <w:autoSpaceDE w:val="0"/>
        <w:spacing w:line="480" w:lineRule="auto"/>
        <w:ind w:firstLine="708"/>
        <w:jc w:val="both"/>
        <w:rPr>
          <w:rFonts w:eastAsia="BatangChe"/>
          <w:color w:val="000000"/>
          <w:lang w:val="es-AR"/>
        </w:rPr>
      </w:pPr>
      <w:r>
        <w:rPr>
          <w:rFonts w:eastAsia="BatangChe"/>
          <w:color w:val="000000"/>
          <w:lang w:val="es-AR"/>
        </w:rPr>
        <w:t xml:space="preserve">A partir del análisis cualitativo del corpus mediante el procedimiento sistemático de comparación propuesto por la Grounded Theory (Glaser &amp; Strauss, 1967; Strauss &amp; Corbin, 1991) se desarrolló un sistema de categorías (xxx) que distingue inicialmente las disputas en las que los niños solo expresan su punto de vista de aquellas en las que despliegan algún tipo de  estrategia argumentativa para sostener su punto de vista.  Ellas se agrupan en estrategias complejas o simples, según aporten o no información nueva como argumento.  La única </w:t>
      </w:r>
      <w:r>
        <w:rPr>
          <w:rFonts w:eastAsia="BatangChe"/>
          <w:color w:val="000000"/>
          <w:lang w:val="es-AR"/>
        </w:rPr>
        <w:lastRenderedPageBreak/>
        <w:t xml:space="preserve">estrategia simple identificada es la </w:t>
      </w:r>
      <w:r>
        <w:rPr>
          <w:rFonts w:eastAsia="BatangChe"/>
          <w:i/>
          <w:color w:val="000000"/>
          <w:lang w:val="es-AR"/>
        </w:rPr>
        <w:t>Reiteración</w:t>
      </w:r>
      <w:r>
        <w:rPr>
          <w:rFonts w:eastAsia="BatangChe"/>
          <w:color w:val="000000"/>
          <w:lang w:val="es-AR"/>
        </w:rPr>
        <w:t>.  Para el estudio cuantitativo de esta estrategia, se distinguió si se trataba de una Reiteración como estrategia principal (</w:t>
      </w:r>
      <w:r>
        <w:rPr>
          <w:rFonts w:eastAsia="BatangChe"/>
          <w:i/>
          <w:color w:val="000000"/>
          <w:lang w:val="es-AR"/>
        </w:rPr>
        <w:t>Reiteración 1</w:t>
      </w:r>
      <w:r>
        <w:rPr>
          <w:rFonts w:eastAsia="BatangChe"/>
          <w:color w:val="000000"/>
          <w:lang w:val="es-AR"/>
        </w:rPr>
        <w:t>) o como estrategia secundaria (</w:t>
      </w:r>
      <w:r>
        <w:rPr>
          <w:rFonts w:eastAsia="BatangChe"/>
          <w:i/>
          <w:color w:val="000000"/>
          <w:lang w:val="es-AR"/>
        </w:rPr>
        <w:t>Reiteración 2</w:t>
      </w:r>
      <w:r>
        <w:rPr>
          <w:rFonts w:eastAsia="BatangChe"/>
          <w:color w:val="000000"/>
          <w:lang w:val="es-AR"/>
        </w:rPr>
        <w:t>), es decir, como la reiteración de otra estrategia argumentativa</w:t>
      </w:r>
    </w:p>
    <w:p w:rsidR="00227659" w:rsidRDefault="00F235DD">
      <w:pPr>
        <w:autoSpaceDE w:val="0"/>
        <w:spacing w:line="480" w:lineRule="auto"/>
        <w:ind w:firstLine="708"/>
        <w:jc w:val="both"/>
      </w:pPr>
      <w:r>
        <w:rPr>
          <w:rFonts w:eastAsia="BatangChe"/>
          <w:color w:val="000000"/>
          <w:lang w:val="es-AR"/>
        </w:rPr>
        <w:t xml:space="preserve">Las estrategias complejas, por su parte, pueden organizarse en dos grandes grupos: a) aquellas que se caracterizan principalmente por seleccionar conocimientos previos, estructurados en distintos formatos como base para la organización de la estrategia argumentativa; entre ellas se encuentran la </w:t>
      </w:r>
      <w:r>
        <w:rPr>
          <w:rFonts w:eastAsia="BatangChe"/>
          <w:i/>
          <w:color w:val="000000"/>
          <w:lang w:val="es-AR"/>
        </w:rPr>
        <w:t>Narración</w:t>
      </w:r>
      <w:r>
        <w:rPr>
          <w:rFonts w:eastAsia="BatangChe"/>
          <w:color w:val="000000"/>
          <w:lang w:val="es-AR"/>
        </w:rPr>
        <w:t xml:space="preserve"> -</w:t>
      </w:r>
      <w:r>
        <w:rPr>
          <w:lang w:val="es-AR"/>
        </w:rPr>
        <w:t xml:space="preserve"> comprende aquellos casos en los que los niños refieren a hechos pasados como evidencia para sostener su posición</w:t>
      </w:r>
      <w:r>
        <w:rPr>
          <w:rFonts w:eastAsia="BatangChe"/>
          <w:color w:val="000000"/>
          <w:lang w:val="es-AR"/>
        </w:rPr>
        <w:t xml:space="preserve">; la </w:t>
      </w:r>
      <w:r>
        <w:rPr>
          <w:rFonts w:eastAsia="BatangChe"/>
          <w:i/>
          <w:color w:val="000000"/>
          <w:lang w:val="es-AR"/>
        </w:rPr>
        <w:t>Anticipación</w:t>
      </w:r>
      <w:r>
        <w:rPr>
          <w:rFonts w:eastAsia="BatangChe"/>
          <w:color w:val="000000"/>
          <w:lang w:val="es-AR"/>
        </w:rPr>
        <w:t>-</w:t>
      </w:r>
      <w:r>
        <w:rPr>
          <w:lang w:val="es-AR"/>
        </w:rPr>
        <w:t xml:space="preserve"> se constituye como argumento en tanto proyecta cursos de acciones deseables o no, vinculados al punto de vista</w:t>
      </w:r>
      <w:r>
        <w:rPr>
          <w:rFonts w:eastAsia="BatangChe"/>
          <w:color w:val="000000"/>
          <w:lang w:val="es-AR"/>
        </w:rPr>
        <w:t xml:space="preserve"> ; la </w:t>
      </w:r>
      <w:r>
        <w:rPr>
          <w:rFonts w:eastAsia="BatangChe"/>
          <w:i/>
          <w:color w:val="000000"/>
          <w:lang w:val="es-AR"/>
        </w:rPr>
        <w:t>Generalización</w:t>
      </w:r>
      <w:r>
        <w:rPr>
          <w:rFonts w:eastAsia="BatangChe"/>
          <w:color w:val="000000"/>
          <w:lang w:val="es-AR"/>
        </w:rPr>
        <w:t xml:space="preserve"> –</w:t>
      </w:r>
      <w:r>
        <w:rPr>
          <w:lang w:val="es-AR"/>
        </w:rPr>
        <w:t xml:space="preserve"> consiste en una afirmación que conceptualiza con un cierto grado de abstracción los fenómenos que constituyen el objeto de la disputa; y la </w:t>
      </w:r>
      <w:r>
        <w:rPr>
          <w:rFonts w:eastAsia="BatangChe"/>
          <w:i/>
          <w:color w:val="000000"/>
          <w:lang w:val="es-AR"/>
        </w:rPr>
        <w:t xml:space="preserve">Descripción </w:t>
      </w:r>
      <w:r>
        <w:rPr>
          <w:rFonts w:eastAsia="BatangChe"/>
          <w:color w:val="000000"/>
          <w:lang w:val="es-AR"/>
        </w:rPr>
        <w:t>-</w:t>
      </w:r>
      <w:r>
        <w:rPr>
          <w:lang w:val="es-AR"/>
        </w:rPr>
        <w:t>se seleccionan y presentan características y/o propiedades de un objeto, un evento o un estado interno que permiten afirmar el punto de vista como conclusión</w:t>
      </w:r>
      <w:r>
        <w:rPr>
          <w:rFonts w:eastAsia="BatangChe"/>
          <w:color w:val="000000"/>
          <w:lang w:val="es-AR"/>
        </w:rPr>
        <w:t xml:space="preserve">; b) aquellas que consideran principalmente características específicas del interlocutor como base de la estrategia en cuestión; entre ellas se encuentran la </w:t>
      </w:r>
      <w:r>
        <w:rPr>
          <w:rFonts w:eastAsia="BatangChe"/>
          <w:i/>
          <w:color w:val="000000"/>
          <w:lang w:val="es-AR"/>
        </w:rPr>
        <w:t>Apelación a la autoridad</w:t>
      </w:r>
      <w:r>
        <w:rPr>
          <w:rFonts w:eastAsia="BatangChe"/>
          <w:color w:val="000000"/>
          <w:lang w:val="es-AR"/>
        </w:rPr>
        <w:t xml:space="preserve"> –el </w:t>
      </w:r>
      <w:r>
        <w:t xml:space="preserve">punto de vista es sostenido a partir de la autoridad de otro interlocutor que lo ha afirmado previamente; </w:t>
      </w:r>
      <w:r>
        <w:rPr>
          <w:rFonts w:eastAsia="BatangChe"/>
          <w:color w:val="000000"/>
          <w:lang w:val="es-AR"/>
        </w:rPr>
        <w:t xml:space="preserve"> la </w:t>
      </w:r>
      <w:r>
        <w:rPr>
          <w:rFonts w:eastAsia="BatangChe"/>
          <w:i/>
          <w:color w:val="000000"/>
          <w:lang w:val="es-AR"/>
        </w:rPr>
        <w:t>Cortesía</w:t>
      </w:r>
      <w:r>
        <w:rPr>
          <w:rFonts w:eastAsia="BatangChe"/>
          <w:color w:val="000000"/>
          <w:lang w:val="es-AR"/>
        </w:rPr>
        <w:t xml:space="preserve"> –</w:t>
      </w:r>
      <w:r>
        <w:rPr>
          <w:lang w:val="es-AR"/>
        </w:rPr>
        <w:t xml:space="preserve"> consiste en la utilización de diversos recursos de mitigación para lograr que un punto de vista sea aceptado; y la </w:t>
      </w:r>
      <w:r>
        <w:rPr>
          <w:rFonts w:eastAsia="BatangChe"/>
          <w:i/>
          <w:color w:val="000000"/>
          <w:lang w:val="es-AR"/>
        </w:rPr>
        <w:t xml:space="preserve">Propuesta Alternativa </w:t>
      </w:r>
      <w:r>
        <w:rPr>
          <w:rFonts w:eastAsia="BatangChe"/>
          <w:color w:val="000000"/>
          <w:lang w:val="es-AR"/>
        </w:rPr>
        <w:t xml:space="preserve">-para </w:t>
      </w:r>
      <w:r>
        <w:t xml:space="preserve">llegar a un acuerdo en torno a las posiciones enfrentadas en la disputa, los niños negocian la resolución de la diferencia ofreciendo opciones.  </w:t>
      </w:r>
      <w:r>
        <w:rPr>
          <w:rFonts w:eastAsia="BatangChe"/>
          <w:color w:val="000000"/>
          <w:lang w:val="es-AR"/>
        </w:rPr>
        <w:t>La Figura 1 resume el sistema de categorías empleado.</w:t>
      </w:r>
    </w:p>
    <w:p w:rsidR="00227659" w:rsidRDefault="00227659">
      <w:pPr>
        <w:autoSpaceDE w:val="0"/>
        <w:spacing w:line="480" w:lineRule="auto"/>
        <w:jc w:val="both"/>
      </w:pPr>
    </w:p>
    <w:p w:rsidR="00493FA8" w:rsidRDefault="00493FA8">
      <w:pPr>
        <w:spacing w:line="360" w:lineRule="auto"/>
        <w:jc w:val="center"/>
        <w:rPr>
          <w:rFonts w:ascii="Arial" w:hAnsi="Arial" w:cs="Arial"/>
          <w:lang w:val="es-AR"/>
        </w:rPr>
      </w:pPr>
    </w:p>
    <w:p w:rsidR="00493FA8" w:rsidRDefault="00493FA8">
      <w:pPr>
        <w:spacing w:line="360" w:lineRule="auto"/>
        <w:jc w:val="center"/>
        <w:rPr>
          <w:rFonts w:ascii="Arial" w:hAnsi="Arial" w:cs="Arial"/>
          <w:lang w:val="es-AR"/>
        </w:rPr>
      </w:pPr>
    </w:p>
    <w:p w:rsidR="00227659" w:rsidRDefault="000E1571">
      <w:pPr>
        <w:spacing w:line="360" w:lineRule="auto"/>
        <w:jc w:val="center"/>
        <w:rPr>
          <w:rFonts w:ascii="Arial" w:hAnsi="Arial" w:cs="Arial"/>
          <w:lang w:val="es-AR"/>
        </w:rPr>
      </w:pPr>
      <w:r w:rsidRPr="000E1571">
        <w:pict>
          <v:rect id="15 Rectángulo" o:spid="_x0000_s1032" style="position:absolute;left:0;text-align:left;margin-left:53.7pt;margin-top:14.15pt;width:237.75pt;height:36.75pt;z-index:5;mso-wrap-style:none;v-text-anchor:middle" filled="f" strokecolor="#243f60" strokeweight=".71mm">
            <v:stroke color2="#dbc09f" endcap="square"/>
          </v:rect>
        </w:pict>
      </w:r>
    </w:p>
    <w:p w:rsidR="00227659" w:rsidRPr="00493FA8" w:rsidRDefault="00493FA8" w:rsidP="00493FA8">
      <w:pPr>
        <w:spacing w:line="360" w:lineRule="auto"/>
      </w:pPr>
      <w:r>
        <w:rPr>
          <w:b/>
          <w:lang w:val="es-AR"/>
        </w:rPr>
        <w:t xml:space="preserve">                           </w:t>
      </w:r>
      <w:r w:rsidR="00F235DD" w:rsidRPr="00493FA8">
        <w:rPr>
          <w:b/>
          <w:lang w:val="es-AR"/>
        </w:rPr>
        <w:t>Estrategias argumentativas verbales</w:t>
      </w:r>
    </w:p>
    <w:p w:rsidR="00227659" w:rsidRDefault="000E1571">
      <w:pPr>
        <w:spacing w:line="360" w:lineRule="auto"/>
        <w:jc w:val="both"/>
        <w:rPr>
          <w:rFonts w:ascii="Arial" w:hAnsi="Arial" w:cs="Arial"/>
          <w:lang w:val="es-AR"/>
        </w:rPr>
      </w:pPr>
      <w:r w:rsidRPr="000E1571">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6" o:spid="_x0000_s1026" type="#_x0000_t87" style="position:absolute;left:0;text-align:left;margin-left:138.8pt;margin-top:-96.9pt;width:33.3pt;height:261.55pt;rotation:90;z-index:1;mso-wrap-style:none;v-text-anchor:middle" strokeweight=".26mm">
            <v:stroke joinstyle="miter" endcap="square"/>
          </v:shape>
        </w:pict>
      </w:r>
    </w:p>
    <w:p w:rsidR="00227659" w:rsidRDefault="00227659">
      <w:pPr>
        <w:spacing w:line="360" w:lineRule="auto"/>
        <w:jc w:val="both"/>
        <w:rPr>
          <w:rFonts w:ascii="Arial" w:hAnsi="Arial" w:cs="Arial"/>
          <w:lang w:val="es-AR"/>
        </w:rPr>
      </w:pPr>
    </w:p>
    <w:p w:rsidR="00227659" w:rsidRDefault="000E1571">
      <w:pPr>
        <w:spacing w:line="360" w:lineRule="auto"/>
        <w:jc w:val="both"/>
        <w:rPr>
          <w:rFonts w:ascii="Arial" w:hAnsi="Arial" w:cs="Arial"/>
          <w:lang w:val="es-AR"/>
        </w:rPr>
      </w:pPr>
      <w:r w:rsidRPr="000E1571">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5" o:spid="_x0000_s1029" type="#_x0000_t176" style="position:absolute;left:0;text-align:left;margin-left:249.45pt;margin-top:15.3pt;width:78pt;height:29.15pt;z-index:-2;mso-wrap-style:none;v-text-anchor:middle" fillcolor="#c1c1c1" strokeweight=".26mm">
            <v:fill focus="50%" type="gradient"/>
            <v:stroke endcap="square"/>
          </v:shape>
        </w:pict>
      </w:r>
      <w:r w:rsidRPr="000E1571">
        <w:pict>
          <v:shape id="Proceso alternativo 4" o:spid="_x0000_s1030" type="#_x0000_t176" style="position:absolute;left:0;text-align:left;margin-left:.65pt;margin-top:11.8pt;width:78pt;height:29.15pt;z-index:-1;mso-wrap-style:none;v-text-anchor:middle" fillcolor="#a8a8a8" strokeweight=".26mm">
            <v:fill focus="50%" type="gradient"/>
            <v:stroke endcap="square"/>
          </v:shape>
        </w:pict>
      </w:r>
    </w:p>
    <w:p w:rsidR="00227659" w:rsidRDefault="00F235DD">
      <w:pPr>
        <w:spacing w:line="360" w:lineRule="auto"/>
        <w:jc w:val="both"/>
      </w:pPr>
      <w:r>
        <w:rPr>
          <w:rFonts w:ascii="Arial" w:hAnsi="Arial" w:cs="Arial"/>
          <w:b/>
          <w:lang w:val="es-AR"/>
        </w:rPr>
        <w:t xml:space="preserve">    </w:t>
      </w:r>
      <w:r w:rsidR="00493FA8">
        <w:rPr>
          <w:rFonts w:ascii="Arial" w:hAnsi="Arial" w:cs="Arial"/>
          <w:b/>
          <w:lang w:val="es-AR"/>
        </w:rPr>
        <w:t xml:space="preserve">  </w:t>
      </w:r>
      <w:r w:rsidRPr="00493FA8">
        <w:rPr>
          <w:b/>
          <w:lang w:val="es-AR"/>
        </w:rPr>
        <w:t>Simples</w:t>
      </w:r>
      <w:r>
        <w:rPr>
          <w:rFonts w:ascii="Arial" w:hAnsi="Arial" w:cs="Arial"/>
          <w:b/>
          <w:lang w:val="es-AR"/>
        </w:rPr>
        <w:tab/>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  </w:t>
      </w:r>
      <w:r w:rsidR="00493FA8">
        <w:rPr>
          <w:rFonts w:ascii="Arial" w:hAnsi="Arial" w:cs="Arial"/>
          <w:lang w:val="es-AR"/>
        </w:rPr>
        <w:t xml:space="preserve"> </w:t>
      </w:r>
      <w:r>
        <w:rPr>
          <w:rFonts w:ascii="Arial" w:hAnsi="Arial" w:cs="Arial"/>
          <w:lang w:val="es-AR"/>
        </w:rPr>
        <w:t xml:space="preserve"> </w:t>
      </w:r>
      <w:r w:rsidRPr="00493FA8">
        <w:rPr>
          <w:b/>
          <w:lang w:val="es-AR"/>
        </w:rPr>
        <w:t>Complejas</w:t>
      </w:r>
    </w:p>
    <w:p w:rsidR="00227659" w:rsidRDefault="000E1571">
      <w:pPr>
        <w:spacing w:line="360" w:lineRule="auto"/>
        <w:jc w:val="both"/>
        <w:rPr>
          <w:rFonts w:ascii="Arial" w:hAnsi="Arial" w:cs="Arial"/>
          <w:i/>
          <w:lang w:val="es-AR"/>
        </w:rPr>
      </w:pPr>
      <w:r w:rsidRPr="000E1571">
        <w:pict>
          <v:shape id="Abrir llave 3" o:spid="_x0000_s1031" type="#_x0000_t87" style="position:absolute;left:0;text-align:left;margin-left:207.5pt;margin-top:-74.25pt;width:34.4pt;height:189pt;rotation:90;z-index:4;mso-wrap-style:none;v-text-anchor:middle" adj=",5540" strokeweight=".26mm">
            <v:stroke joinstyle="miter" endcap="square"/>
          </v:shape>
        </w:pict>
      </w:r>
    </w:p>
    <w:p w:rsidR="00227659" w:rsidRPr="00493FA8" w:rsidRDefault="000E1571">
      <w:pPr>
        <w:pStyle w:val="Prrafodelista"/>
        <w:numPr>
          <w:ilvl w:val="0"/>
          <w:numId w:val="1"/>
        </w:numPr>
        <w:spacing w:line="360" w:lineRule="auto"/>
        <w:ind w:left="284" w:hanging="284"/>
        <w:jc w:val="both"/>
        <w:rPr>
          <w:rFonts w:ascii="Times New Roman" w:hAnsi="Times New Roman" w:cs="Times New Roman"/>
        </w:rPr>
      </w:pPr>
      <w:r>
        <w:rPr>
          <w:rFonts w:ascii="Times New Roman" w:hAnsi="Times New Roman" w:cs="Times New Roman"/>
        </w:rPr>
        <w:pict>
          <v:shapetype id="_x0000_t202" coordsize="21600,21600" o:spt="202" path="m,l,21600r21600,l21600,xe">
            <v:stroke joinstyle="miter"/>
            <v:path gradientshapeok="t" o:connecttype="rect"/>
          </v:shapetype>
          <v:shape id="_x0000_s1028" type="#_x0000_t202" style="position:absolute;left:0;text-align:left;margin-left:286.2pt;margin-top:16.75pt;width:158.15pt;height:55.25pt;z-index:3;mso-wrap-distance-left:9.05pt;mso-wrap-distance-top:3.6pt;mso-wrap-distance-right:9.05pt;mso-wrap-distance-bottom:3.6pt" stroked="f">
            <v:fill color2="black"/>
            <v:textbox inset="0,0,0,0">
              <w:txbxContent>
                <w:p w:rsidR="00693A0D" w:rsidRPr="00493FA8" w:rsidRDefault="00693A0D">
                  <w:r w:rsidRPr="00493FA8">
                    <w:rPr>
                      <w:b/>
                    </w:rPr>
                    <w:t>Grupo b</w:t>
                  </w:r>
                </w:p>
                <w:p w:rsidR="00693A0D" w:rsidRPr="00493FA8" w:rsidRDefault="00693A0D">
                  <w:r w:rsidRPr="00493FA8">
                    <w:t>A partir de la consideración de características del interlocutor</w:t>
                  </w:r>
                </w:p>
              </w:txbxContent>
            </v:textbox>
            <w10:wrap type="square"/>
          </v:shape>
        </w:pict>
      </w:r>
      <w:r w:rsidR="00F235DD" w:rsidRPr="00493FA8">
        <w:rPr>
          <w:rFonts w:ascii="Times New Roman" w:hAnsi="Times New Roman" w:cs="Times New Roman"/>
          <w:lang w:val="es-AR"/>
        </w:rPr>
        <w:t xml:space="preserve">Reiteración </w:t>
      </w:r>
    </w:p>
    <w:p w:rsidR="00227659" w:rsidRDefault="000E1571">
      <w:pPr>
        <w:spacing w:line="360" w:lineRule="auto"/>
        <w:ind w:left="709"/>
        <w:jc w:val="both"/>
        <w:rPr>
          <w:rFonts w:ascii="Arial" w:hAnsi="Arial" w:cs="Arial"/>
          <w:i/>
          <w:lang w:val="es-AR"/>
        </w:rPr>
      </w:pPr>
      <w:r w:rsidRPr="000E1571">
        <w:pict>
          <v:shape id="_x0000_s1027" type="#_x0000_t202" style="position:absolute;left:0;text-align:left;margin-left:85.2pt;margin-top:1.15pt;width:164.15pt;height:50.15pt;z-index:2;mso-wrap-distance-left:9.05pt;mso-wrap-distance-top:3.6pt;mso-wrap-distance-right:9.05pt;mso-wrap-distance-bottom:3.6pt" stroked="f">
            <v:fill color2="black"/>
            <v:textbox inset="0,0,0,0">
              <w:txbxContent>
                <w:p w:rsidR="00693A0D" w:rsidRPr="00493FA8" w:rsidRDefault="00693A0D">
                  <w:r w:rsidRPr="00493FA8">
                    <w:rPr>
                      <w:b/>
                    </w:rPr>
                    <w:t>Grupo a</w:t>
                  </w:r>
                </w:p>
                <w:p w:rsidR="00693A0D" w:rsidRPr="00493FA8" w:rsidRDefault="00693A0D">
                  <w:r w:rsidRPr="00493FA8">
                    <w:t xml:space="preserve">A partir de la selección de </w:t>
                  </w:r>
                </w:p>
                <w:p w:rsidR="00693A0D" w:rsidRPr="00493FA8" w:rsidRDefault="00693A0D">
                  <w:r w:rsidRPr="00493FA8">
                    <w:t>esquemas de conocimientos</w:t>
                  </w:r>
                </w:p>
              </w:txbxContent>
            </v:textbox>
            <w10:wrap type="square"/>
          </v:shape>
        </w:pict>
      </w:r>
      <w:r w:rsidR="00F235DD">
        <w:rPr>
          <w:rFonts w:ascii="Arial" w:hAnsi="Arial" w:cs="Arial"/>
          <w:i/>
          <w:lang w:val="es-AR"/>
        </w:rPr>
        <w:tab/>
      </w:r>
      <w:r w:rsidR="00F235DD">
        <w:rPr>
          <w:rFonts w:ascii="Arial" w:hAnsi="Arial" w:cs="Arial"/>
          <w:i/>
          <w:lang w:val="es-AR"/>
        </w:rPr>
        <w:tab/>
      </w:r>
    </w:p>
    <w:p w:rsidR="00227659" w:rsidRDefault="00227659">
      <w:pPr>
        <w:spacing w:line="360" w:lineRule="auto"/>
        <w:ind w:left="709"/>
        <w:jc w:val="both"/>
        <w:rPr>
          <w:rFonts w:ascii="Arial" w:hAnsi="Arial" w:cs="Arial"/>
          <w:i/>
          <w:lang w:val="es-AR"/>
        </w:rPr>
      </w:pPr>
    </w:p>
    <w:p w:rsidR="00227659" w:rsidRPr="00493FA8" w:rsidRDefault="00F235DD">
      <w:pPr>
        <w:pStyle w:val="Prrafodelista"/>
        <w:numPr>
          <w:ilvl w:val="0"/>
          <w:numId w:val="2"/>
        </w:numPr>
        <w:spacing w:line="360" w:lineRule="auto"/>
        <w:ind w:left="1843" w:hanging="425"/>
        <w:jc w:val="both"/>
        <w:rPr>
          <w:rFonts w:ascii="Times New Roman" w:hAnsi="Times New Roman" w:cs="Times New Roman"/>
          <w:lang w:val="es-AR"/>
        </w:rPr>
      </w:pPr>
      <w:r w:rsidRPr="00493FA8">
        <w:rPr>
          <w:rFonts w:ascii="Times New Roman" w:hAnsi="Times New Roman" w:cs="Times New Roman"/>
          <w:lang w:val="es-AR"/>
        </w:rPr>
        <w:t xml:space="preserve">Narración    </w:t>
      </w:r>
      <w:bookmarkStart w:id="0" w:name="_GoBack"/>
      <w:bookmarkEnd w:id="0"/>
      <w:r w:rsidRPr="00493FA8">
        <w:rPr>
          <w:rFonts w:ascii="Times New Roman" w:hAnsi="Times New Roman" w:cs="Times New Roman"/>
          <w:lang w:val="es-AR"/>
        </w:rPr>
        <w:t xml:space="preserve">      </w:t>
      </w:r>
      <w:r w:rsidR="00493FA8">
        <w:rPr>
          <w:rFonts w:ascii="Times New Roman" w:hAnsi="Times New Roman" w:cs="Times New Roman"/>
          <w:lang w:val="es-AR"/>
        </w:rPr>
        <w:t xml:space="preserve">                               </w:t>
      </w:r>
      <w:r w:rsidRPr="00493FA8">
        <w:rPr>
          <w:rFonts w:ascii="Times New Roman" w:hAnsi="Times New Roman" w:cs="Times New Roman"/>
          <w:lang w:val="es-AR"/>
        </w:rPr>
        <w:t xml:space="preserve"> -   Apelación a la autoridad</w:t>
      </w:r>
    </w:p>
    <w:p w:rsidR="00227659" w:rsidRPr="00493FA8" w:rsidRDefault="00F235DD">
      <w:pPr>
        <w:pStyle w:val="Prrafodelista"/>
        <w:spacing w:line="360" w:lineRule="auto"/>
        <w:jc w:val="both"/>
        <w:rPr>
          <w:rFonts w:ascii="Times New Roman" w:hAnsi="Times New Roman" w:cs="Times New Roman"/>
          <w:lang w:val="es-AR"/>
        </w:rPr>
      </w:pPr>
      <w:r w:rsidRPr="00493FA8">
        <w:rPr>
          <w:rFonts w:ascii="Times New Roman" w:hAnsi="Times New Roman" w:cs="Times New Roman"/>
          <w:lang w:val="es-AR"/>
        </w:rPr>
        <w:t xml:space="preserve">           -     </w:t>
      </w:r>
      <w:r w:rsidR="00493FA8">
        <w:rPr>
          <w:rFonts w:ascii="Times New Roman" w:hAnsi="Times New Roman" w:cs="Times New Roman"/>
          <w:lang w:val="es-AR"/>
        </w:rPr>
        <w:t xml:space="preserve"> </w:t>
      </w:r>
      <w:r w:rsidRPr="00493FA8">
        <w:rPr>
          <w:rFonts w:ascii="Times New Roman" w:hAnsi="Times New Roman" w:cs="Times New Roman"/>
          <w:lang w:val="es-AR"/>
        </w:rPr>
        <w:t xml:space="preserve">Generalización                                  -   Cortesía                                 </w:t>
      </w:r>
    </w:p>
    <w:p w:rsidR="00227659" w:rsidRPr="00493FA8" w:rsidRDefault="00F235DD">
      <w:pPr>
        <w:pStyle w:val="Prrafodelista"/>
        <w:spacing w:line="360" w:lineRule="auto"/>
        <w:jc w:val="both"/>
        <w:rPr>
          <w:rFonts w:ascii="Times New Roman" w:hAnsi="Times New Roman" w:cs="Times New Roman"/>
          <w:lang w:val="es-AR"/>
        </w:rPr>
      </w:pPr>
      <w:r w:rsidRPr="00493FA8">
        <w:rPr>
          <w:rFonts w:ascii="Times New Roman" w:hAnsi="Times New Roman" w:cs="Times New Roman"/>
          <w:lang w:val="es-AR"/>
        </w:rPr>
        <w:t xml:space="preserve">           -      Descripción                                      </w:t>
      </w:r>
      <w:r w:rsidR="00493FA8">
        <w:rPr>
          <w:rFonts w:ascii="Times New Roman" w:hAnsi="Times New Roman" w:cs="Times New Roman"/>
          <w:lang w:val="es-AR"/>
        </w:rPr>
        <w:t xml:space="preserve"> </w:t>
      </w:r>
      <w:r w:rsidRPr="00493FA8">
        <w:rPr>
          <w:rFonts w:ascii="Times New Roman" w:hAnsi="Times New Roman" w:cs="Times New Roman"/>
          <w:lang w:val="es-AR"/>
        </w:rPr>
        <w:t>-   Propuesta alternativa</w:t>
      </w:r>
    </w:p>
    <w:p w:rsidR="00227659" w:rsidRDefault="00F235DD">
      <w:pPr>
        <w:pStyle w:val="Prrafodelista"/>
        <w:spacing w:line="360" w:lineRule="auto"/>
        <w:jc w:val="both"/>
      </w:pPr>
      <w:r w:rsidRPr="00493FA8">
        <w:rPr>
          <w:rFonts w:ascii="Times New Roman" w:hAnsi="Times New Roman" w:cs="Times New Roman"/>
          <w:lang w:val="es-AR"/>
        </w:rPr>
        <w:t xml:space="preserve">           -      Anticipación</w:t>
      </w:r>
      <w:r>
        <w:rPr>
          <w:rFonts w:ascii="Arial" w:hAnsi="Arial" w:cs="Arial"/>
          <w:lang w:val="es-AR"/>
        </w:rPr>
        <w:t xml:space="preserve">                               </w:t>
      </w:r>
      <w:r>
        <w:rPr>
          <w:rFonts w:ascii="Arial" w:hAnsi="Arial" w:cs="Arial"/>
          <w:lang w:val="es-AR"/>
        </w:rPr>
        <w:tab/>
        <w:t xml:space="preserve">   </w:t>
      </w:r>
    </w:p>
    <w:p w:rsidR="00493FA8" w:rsidRDefault="00493FA8" w:rsidP="00493FA8">
      <w:pPr>
        <w:autoSpaceDE w:val="0"/>
        <w:spacing w:line="480" w:lineRule="auto"/>
        <w:jc w:val="both"/>
        <w:rPr>
          <w:i/>
        </w:rPr>
      </w:pPr>
    </w:p>
    <w:p w:rsidR="00493FA8" w:rsidRDefault="00493FA8" w:rsidP="00493FA8">
      <w:pPr>
        <w:autoSpaceDE w:val="0"/>
        <w:spacing w:line="480" w:lineRule="auto"/>
        <w:jc w:val="both"/>
      </w:pPr>
      <w:r w:rsidRPr="00780573">
        <w:rPr>
          <w:i/>
        </w:rPr>
        <w:t>Figura 1</w:t>
      </w:r>
      <w:r>
        <w:t xml:space="preserve">. </w:t>
      </w:r>
      <w:r w:rsidRPr="00780573">
        <w:t>Estrategias Argumentativas Verbales</w:t>
      </w:r>
    </w:p>
    <w:p w:rsidR="00693A0D" w:rsidRPr="00F02640" w:rsidRDefault="00693A0D" w:rsidP="00493FA8">
      <w:pPr>
        <w:autoSpaceDE w:val="0"/>
        <w:spacing w:line="480" w:lineRule="auto"/>
        <w:jc w:val="both"/>
        <w:rPr>
          <w:sz w:val="18"/>
          <w:szCs w:val="18"/>
        </w:rPr>
      </w:pPr>
      <w:r w:rsidRPr="00F02640">
        <w:rPr>
          <w:sz w:val="18"/>
          <w:szCs w:val="18"/>
        </w:rPr>
        <w:t xml:space="preserve">Se trata del sistema de categorías desarrollado a partir </w:t>
      </w:r>
      <w:r w:rsidR="002B7396" w:rsidRPr="00F02640">
        <w:rPr>
          <w:sz w:val="18"/>
          <w:szCs w:val="18"/>
        </w:rPr>
        <w:t xml:space="preserve">del método comparativo constante (Glaser y Strauss, 1967), </w:t>
      </w:r>
      <w:r w:rsidRPr="00F02640">
        <w:rPr>
          <w:sz w:val="18"/>
          <w:szCs w:val="18"/>
        </w:rPr>
        <w:t xml:space="preserve">referido a las estrategias argumentativas que </w:t>
      </w:r>
      <w:r w:rsidR="002B7396" w:rsidRPr="00F02640">
        <w:rPr>
          <w:sz w:val="18"/>
          <w:szCs w:val="18"/>
        </w:rPr>
        <w:t>emplean los niños en disputas en situaciones de juego (xxxx).</w:t>
      </w:r>
    </w:p>
    <w:p w:rsidR="00227659" w:rsidRDefault="00227659">
      <w:pPr>
        <w:autoSpaceDE w:val="0"/>
        <w:spacing w:line="360" w:lineRule="auto"/>
        <w:jc w:val="both"/>
      </w:pPr>
    </w:p>
    <w:p w:rsidR="00227659" w:rsidRDefault="00F235DD">
      <w:pPr>
        <w:spacing w:line="480" w:lineRule="auto"/>
        <w:jc w:val="both"/>
        <w:rPr>
          <w:color w:val="000000"/>
          <w:lang w:val="es-AR"/>
        </w:rPr>
      </w:pPr>
      <w:r>
        <w:rPr>
          <w:rFonts w:eastAsia="Calibri"/>
          <w:color w:val="000000"/>
          <w:lang w:val="es-ES_tradnl"/>
        </w:rPr>
        <w:tab/>
        <w:t xml:space="preserve">En virtud de este sistema de categorías, este trabajo desarrolla un análisis de la distribución en el corpus de </w:t>
      </w:r>
      <w:r>
        <w:rPr>
          <w:rFonts w:eastAsia="Calibri"/>
          <w:color w:val="000000"/>
          <w:lang w:val="es-AR"/>
        </w:rPr>
        <w:t xml:space="preserve">las ocurrencias de cada una de las categorías de estrategias verbales, con el objeto de realizar comparaciones en función de:  </w:t>
      </w:r>
    </w:p>
    <w:p w:rsidR="00227659" w:rsidRDefault="00227659">
      <w:pPr>
        <w:spacing w:line="480" w:lineRule="auto"/>
        <w:jc w:val="both"/>
        <w:rPr>
          <w:color w:val="000000"/>
          <w:lang w:val="es-AR"/>
        </w:rPr>
      </w:pPr>
    </w:p>
    <w:p w:rsidR="00227659" w:rsidRDefault="00F235DD">
      <w:pPr>
        <w:spacing w:line="480" w:lineRule="auto"/>
        <w:ind w:hanging="20"/>
        <w:jc w:val="both"/>
        <w:rPr>
          <w:color w:val="000000"/>
          <w:lang w:val="es-AR"/>
        </w:rPr>
      </w:pPr>
      <w:r>
        <w:rPr>
          <w:color w:val="000000"/>
          <w:lang w:val="es-AR"/>
        </w:rPr>
        <w:t xml:space="preserve">1) La edad de los niños.  El rango estudiado contempló niños de edad promedio de 3.7, 4.6 y 5.7 años de edad.  </w:t>
      </w:r>
    </w:p>
    <w:p w:rsidR="00227659" w:rsidRDefault="00F235DD">
      <w:pPr>
        <w:spacing w:line="480" w:lineRule="auto"/>
        <w:ind w:hanging="360"/>
        <w:jc w:val="both"/>
        <w:rPr>
          <w:rFonts w:eastAsia="Calibri"/>
          <w:color w:val="000000"/>
          <w:lang w:val="es-AR"/>
        </w:rPr>
      </w:pPr>
      <w:r>
        <w:rPr>
          <w:color w:val="000000"/>
          <w:lang w:val="es-AR"/>
        </w:rPr>
        <w:tab/>
        <w:t>2) El tipo de juego.  Se consideraron 3 tipos de juego, determinados en función del rincón en el que se desplegaban: juego dramático, juego de construcciones y juego de mesa (lotería, encastre, juegos de memoria, etc.).  Cabe señalar que el corpus registrado en las situaciones de juego de 3 años no incluye disputas en situaciones de juego de mesa.</w:t>
      </w:r>
      <w:r>
        <w:rPr>
          <w:color w:val="000000"/>
          <w:lang w:val="es-AR"/>
        </w:rPr>
        <w:tab/>
      </w:r>
    </w:p>
    <w:p w:rsidR="00227659" w:rsidRDefault="00F235DD">
      <w:pPr>
        <w:spacing w:line="480" w:lineRule="auto"/>
        <w:jc w:val="both"/>
        <w:rPr>
          <w:rFonts w:eastAsia="Calibri"/>
          <w:color w:val="000000"/>
          <w:lang w:val="es-AR"/>
        </w:rPr>
      </w:pPr>
      <w:r>
        <w:rPr>
          <w:rFonts w:eastAsia="Calibri"/>
          <w:color w:val="000000"/>
          <w:lang w:val="es-AR"/>
        </w:rPr>
        <w:t xml:space="preserve">3) Asimismo, se analizó la relación entre los recursos lingüísticos que los niños empleaban en las estrategias argumentativas, en función de la edad y del tipo de juego.  Los recursos </w:t>
      </w:r>
      <w:r>
        <w:rPr>
          <w:rFonts w:eastAsia="Calibri"/>
          <w:color w:val="000000"/>
          <w:lang w:val="es-AR"/>
        </w:rPr>
        <w:lastRenderedPageBreak/>
        <w:t>lingüísticos considerados fueron aquellos identificados a partir de la inspección cualitativa de los datos.  Con el fin de establecer eventuales diferencias, se los agrupó del siguiente modo:</w:t>
      </w:r>
    </w:p>
    <w:p w:rsidR="00227659" w:rsidRDefault="00F235DD">
      <w:pPr>
        <w:spacing w:line="480" w:lineRule="auto"/>
        <w:jc w:val="both"/>
        <w:rPr>
          <w:rFonts w:eastAsia="Calibri"/>
          <w:color w:val="000000"/>
          <w:lang w:val="es-AR"/>
        </w:rPr>
      </w:pPr>
      <w:r>
        <w:rPr>
          <w:rFonts w:eastAsia="Calibri"/>
          <w:color w:val="000000"/>
          <w:lang w:val="es-AR"/>
        </w:rPr>
        <w:t xml:space="preserve">3.1.) Términos de oposición intraproposicionales.  Se reunieron dentro este grupo las formas </w:t>
      </w:r>
      <w:r>
        <w:rPr>
          <w:rFonts w:eastAsia="Calibri"/>
          <w:i/>
          <w:iCs/>
          <w:color w:val="000000"/>
          <w:lang w:val="es-AR"/>
        </w:rPr>
        <w:t>no, tampoco, sí, también</w:t>
      </w:r>
      <w:r>
        <w:rPr>
          <w:rFonts w:eastAsia="Calibri"/>
          <w:color w:val="000000"/>
          <w:lang w:val="es-AR"/>
        </w:rPr>
        <w:t xml:space="preserve">.  Ellas aparecen principalmente en la expresión del punto de vista.  Las formas negativas ocurren cuando un niño rechaza una acción o un punto de vista esgrimido por un par.  Las formas afirmativas adquieren un valor de oposición cuando son empleadas para rechazar enunciados negativos.  </w:t>
      </w:r>
    </w:p>
    <w:p w:rsidR="00227659" w:rsidRDefault="00F235DD">
      <w:pPr>
        <w:spacing w:line="480" w:lineRule="auto"/>
        <w:jc w:val="both"/>
        <w:rPr>
          <w:rFonts w:eastAsia="Calibri"/>
          <w:color w:val="000000"/>
          <w:lang w:val="es-AR"/>
        </w:rPr>
      </w:pPr>
      <w:r>
        <w:rPr>
          <w:rFonts w:eastAsia="Calibri"/>
          <w:color w:val="000000"/>
          <w:lang w:val="es-AR"/>
        </w:rPr>
        <w:t xml:space="preserve">3.2.) Términos de oposición discursivos: </w:t>
      </w:r>
      <w:r>
        <w:rPr>
          <w:rFonts w:eastAsia="Calibri"/>
          <w:i/>
          <w:iCs/>
          <w:color w:val="000000"/>
          <w:lang w:val="es-AR"/>
        </w:rPr>
        <w:t>pero</w:t>
      </w:r>
      <w:r>
        <w:rPr>
          <w:rFonts w:eastAsia="Calibri"/>
          <w:color w:val="000000"/>
          <w:lang w:val="es-AR"/>
        </w:rPr>
        <w:t xml:space="preserve">.  Se consideraron por separado el uso de </w:t>
      </w:r>
      <w:r>
        <w:rPr>
          <w:rFonts w:eastAsia="Calibri"/>
          <w:i/>
          <w:iCs/>
          <w:color w:val="000000"/>
          <w:lang w:val="es-AR"/>
        </w:rPr>
        <w:t>pero</w:t>
      </w:r>
      <w:r>
        <w:rPr>
          <w:rFonts w:eastAsia="Calibri"/>
          <w:color w:val="000000"/>
          <w:lang w:val="es-AR"/>
        </w:rPr>
        <w:t xml:space="preserve"> en tanto expresa una oposición al tiempo que conecta el turno con turnos de habla o acciones previos.  Aparece mayormente en posición inicial.</w:t>
      </w:r>
    </w:p>
    <w:p w:rsidR="00227659" w:rsidRDefault="00F235DD">
      <w:pPr>
        <w:spacing w:line="480" w:lineRule="auto"/>
        <w:jc w:val="both"/>
        <w:rPr>
          <w:rFonts w:eastAsia="Calibri"/>
          <w:color w:val="000000"/>
          <w:lang w:val="es-AR"/>
        </w:rPr>
      </w:pPr>
      <w:r>
        <w:rPr>
          <w:rFonts w:eastAsia="Calibri"/>
          <w:color w:val="000000"/>
          <w:lang w:val="es-AR"/>
        </w:rPr>
        <w:t xml:space="preserve">3.3.) Términos que expresan relaciones de causa-consecuencia: </w:t>
      </w:r>
      <w:r>
        <w:rPr>
          <w:rFonts w:eastAsia="Calibri"/>
          <w:i/>
          <w:iCs/>
          <w:color w:val="000000"/>
          <w:lang w:val="es-AR"/>
        </w:rPr>
        <w:t>porque</w:t>
      </w:r>
      <w:r>
        <w:rPr>
          <w:rFonts w:eastAsia="Calibri"/>
          <w:color w:val="000000"/>
          <w:lang w:val="es-AR"/>
        </w:rPr>
        <w:t>.  En el corpus que se analiza, se trata del único conector empleado por los niños para explicitar la relación entre el punto de vista y el argumento.</w:t>
      </w:r>
    </w:p>
    <w:p w:rsidR="00227659" w:rsidRDefault="00F235DD">
      <w:pPr>
        <w:spacing w:line="480" w:lineRule="auto"/>
        <w:jc w:val="both"/>
        <w:rPr>
          <w:color w:val="000000"/>
        </w:rPr>
      </w:pPr>
      <w:r>
        <w:rPr>
          <w:rFonts w:eastAsia="Calibri"/>
          <w:color w:val="000000"/>
          <w:lang w:val="es-AR"/>
        </w:rPr>
        <w:t xml:space="preserve">3.4.) Términos de obligación: se consideraron todas las formas de las perífrasis verbales de obligación: </w:t>
      </w:r>
      <w:r>
        <w:rPr>
          <w:rFonts w:eastAsia="Calibri"/>
          <w:i/>
          <w:iCs/>
          <w:color w:val="000000"/>
          <w:lang w:val="es-AR"/>
        </w:rPr>
        <w:t>tener + que + infinitivo, hay + que + infinitivo.</w:t>
      </w:r>
    </w:p>
    <w:p w:rsidR="00227659" w:rsidRDefault="00227659">
      <w:pPr>
        <w:spacing w:line="480" w:lineRule="auto"/>
        <w:jc w:val="both"/>
        <w:rPr>
          <w:color w:val="000000"/>
        </w:rPr>
      </w:pPr>
    </w:p>
    <w:p w:rsidR="00227659" w:rsidRDefault="00F235DD">
      <w:pPr>
        <w:spacing w:line="480" w:lineRule="auto"/>
        <w:ind w:firstLine="708"/>
        <w:jc w:val="both"/>
        <w:rPr>
          <w:b/>
          <w:bCs/>
          <w:color w:val="000000"/>
        </w:rPr>
      </w:pPr>
      <w:r>
        <w:rPr>
          <w:rFonts w:eastAsia="Calibri"/>
          <w:color w:val="000000"/>
          <w:lang w:val="es-AR"/>
        </w:rPr>
        <w:t xml:space="preserve">Para estudiar la relación entre las estrategias argumentativas y la edad de los niños se emplearon los test de </w:t>
      </w:r>
      <w:r>
        <w:rPr>
          <w:rFonts w:eastAsia="Calibri"/>
          <w:i/>
          <w:color w:val="000000"/>
          <w:lang w:val="es-AR"/>
        </w:rPr>
        <w:t>t</w:t>
      </w:r>
      <w:r>
        <w:rPr>
          <w:rFonts w:eastAsia="Calibri"/>
          <w:color w:val="000000"/>
          <w:lang w:val="es-AR"/>
        </w:rPr>
        <w:t xml:space="preserve"> de Student y ANOVA.  Para estudiar la relación entre las estrategias argumentativas  los recursos lingüísticos se empleó el test de correlación de </w:t>
      </w:r>
      <w:r>
        <w:rPr>
          <w:rFonts w:eastAsia="Calibri"/>
          <w:i/>
          <w:color w:val="000000"/>
          <w:lang w:val="es-AR"/>
        </w:rPr>
        <w:t>r</w:t>
      </w:r>
      <w:r>
        <w:rPr>
          <w:rFonts w:eastAsia="Calibri"/>
          <w:color w:val="000000"/>
          <w:lang w:val="es-AR"/>
        </w:rPr>
        <w:t xml:space="preserve"> de Pearson.</w:t>
      </w:r>
    </w:p>
    <w:p w:rsidR="00227659" w:rsidRDefault="00227659">
      <w:pPr>
        <w:spacing w:line="480" w:lineRule="auto"/>
        <w:jc w:val="both"/>
        <w:rPr>
          <w:b/>
          <w:bCs/>
          <w:color w:val="000000"/>
        </w:rPr>
      </w:pPr>
    </w:p>
    <w:p w:rsidR="00227659" w:rsidRDefault="00F235DD">
      <w:pPr>
        <w:spacing w:line="480" w:lineRule="auto"/>
        <w:jc w:val="both"/>
        <w:rPr>
          <w:color w:val="000000"/>
        </w:rPr>
      </w:pPr>
      <w:r>
        <w:rPr>
          <w:b/>
          <w:bCs/>
          <w:color w:val="000000"/>
        </w:rPr>
        <w:t>Resultados</w:t>
      </w:r>
    </w:p>
    <w:p w:rsidR="00227659" w:rsidRDefault="00227659">
      <w:pPr>
        <w:spacing w:line="480" w:lineRule="auto"/>
        <w:jc w:val="both"/>
        <w:rPr>
          <w:color w:val="000000"/>
        </w:rPr>
      </w:pPr>
    </w:p>
    <w:p w:rsidR="00227659" w:rsidRDefault="00F235DD">
      <w:pPr>
        <w:spacing w:line="480" w:lineRule="auto"/>
        <w:ind w:firstLine="708"/>
        <w:jc w:val="both"/>
        <w:rPr>
          <w:color w:val="000000"/>
        </w:rPr>
      </w:pPr>
      <w:r>
        <w:rPr>
          <w:color w:val="000000"/>
        </w:rPr>
        <w:t xml:space="preserve">Los resultados del análisis muestran que los niños tempranamente sostienen sus posiciones con argumentos y cómo se distribuyen en el corpus los distintos tipos de estrategias argumentativas y de los recursos que las configuran.  Este análisis pone, asimismo, </w:t>
      </w:r>
      <w:r>
        <w:rPr>
          <w:color w:val="000000"/>
        </w:rPr>
        <w:lastRenderedPageBreak/>
        <w:t xml:space="preserve">de manifiesto diferencias en el empleo de las estrategias argumentativas y de los recursos lingüísticos a lo largo de la etapa preescolar como también diferencias en las estrategias a las que los niños recurren en función del tipo de juego -dramático, de construcciones y de mesa-.  </w:t>
      </w:r>
    </w:p>
    <w:p w:rsidR="00227659" w:rsidRDefault="00F235DD">
      <w:pPr>
        <w:spacing w:line="480" w:lineRule="auto"/>
        <w:jc w:val="both"/>
      </w:pPr>
      <w:r>
        <w:rPr>
          <w:color w:val="000000"/>
        </w:rPr>
        <w:tab/>
        <w:t xml:space="preserve">En la Tabla 1 se presentan los datos -media y desvío estándar- referidos a los casos en los que los niños sólo oponen un punto de vista versus aquellos casos en los que además esgrimen alguna estrategia argumentativa, sin distinguir la edad de los niños y el tipo de juego.  Con el fin de constatar la significatividad de las diferencias entre la mera expresión del punto de vista y el empleo de estrategias argumentativas, se realizó un análisis de diferencia de medias a partir del estadístico </w:t>
      </w:r>
      <w:r>
        <w:rPr>
          <w:i/>
          <w:color w:val="000000"/>
        </w:rPr>
        <w:t>t</w:t>
      </w:r>
      <w:r>
        <w:rPr>
          <w:color w:val="000000"/>
        </w:rPr>
        <w:t xml:space="preserve"> de Student.</w:t>
      </w:r>
    </w:p>
    <w:p w:rsidR="00227659" w:rsidRDefault="00227659">
      <w:pPr>
        <w:spacing w:line="360" w:lineRule="auto"/>
        <w:jc w:val="both"/>
      </w:pPr>
    </w:p>
    <w:p w:rsidR="00227659" w:rsidRDefault="00F235DD" w:rsidP="009E03E7">
      <w:pPr>
        <w:spacing w:line="360" w:lineRule="auto"/>
        <w:ind w:left="1276"/>
        <w:rPr>
          <w:i/>
          <w:color w:val="000000"/>
          <w:lang w:val="es-MX"/>
        </w:rPr>
      </w:pPr>
      <w:r>
        <w:rPr>
          <w:color w:val="000000"/>
        </w:rPr>
        <w:t>Tabla 1</w:t>
      </w:r>
    </w:p>
    <w:p w:rsidR="00227659" w:rsidRDefault="00F235DD" w:rsidP="009E03E7">
      <w:pPr>
        <w:spacing w:line="360" w:lineRule="auto"/>
        <w:ind w:left="1276" w:right="1982"/>
        <w:rPr>
          <w:color w:val="000000"/>
        </w:rPr>
      </w:pPr>
      <w:r>
        <w:rPr>
          <w:i/>
          <w:color w:val="000000"/>
          <w:lang w:val="es-MX"/>
        </w:rPr>
        <w:t>Mera Expresión del Punto de Vista vs.  Empleo de Estrategias Argumentativas</w:t>
      </w:r>
    </w:p>
    <w:p w:rsidR="00227659" w:rsidRDefault="00F235DD">
      <w:pPr>
        <w:spacing w:line="360" w:lineRule="auto"/>
        <w:ind w:left="2124"/>
        <w:jc w:val="both"/>
        <w:rPr>
          <w:color w:val="000000"/>
          <w:sz w:val="20"/>
          <w:szCs w:val="20"/>
        </w:rPr>
      </w:pPr>
      <w:r>
        <w:rPr>
          <w:color w:val="000000"/>
        </w:rPr>
        <w:t xml:space="preserve">    </w:t>
      </w:r>
    </w:p>
    <w:tbl>
      <w:tblPr>
        <w:tblW w:w="0" w:type="auto"/>
        <w:jc w:val="center"/>
        <w:tblInd w:w="559" w:type="dxa"/>
        <w:tblLayout w:type="fixed"/>
        <w:tblLook w:val="0000"/>
      </w:tblPr>
      <w:tblGrid>
        <w:gridCol w:w="1320"/>
        <w:gridCol w:w="1319"/>
        <w:gridCol w:w="1319"/>
        <w:gridCol w:w="1319"/>
        <w:gridCol w:w="1329"/>
      </w:tblGrid>
      <w:tr w:rsidR="00227659" w:rsidTr="009E03E7">
        <w:trPr>
          <w:jc w:val="center"/>
        </w:trPr>
        <w:tc>
          <w:tcPr>
            <w:tcW w:w="2639" w:type="dxa"/>
            <w:gridSpan w:val="2"/>
            <w:tcBorders>
              <w:top w:val="single" w:sz="4" w:space="0" w:color="000000"/>
              <w:bottom w:val="single" w:sz="4" w:space="0" w:color="000000"/>
            </w:tcBorders>
            <w:shd w:val="clear" w:color="auto" w:fill="auto"/>
          </w:tcPr>
          <w:p w:rsidR="00227659" w:rsidRDefault="00CA5379">
            <w:pPr>
              <w:spacing w:line="360" w:lineRule="auto"/>
              <w:jc w:val="center"/>
              <w:rPr>
                <w:color w:val="000000"/>
                <w:sz w:val="20"/>
                <w:szCs w:val="20"/>
              </w:rPr>
            </w:pPr>
            <w:r>
              <w:rPr>
                <w:color w:val="000000"/>
                <w:sz w:val="20"/>
                <w:szCs w:val="20"/>
              </w:rPr>
              <w:t>Punto de v</w:t>
            </w:r>
            <w:r w:rsidR="00F235DD">
              <w:rPr>
                <w:color w:val="000000"/>
                <w:sz w:val="20"/>
                <w:szCs w:val="20"/>
              </w:rPr>
              <w:t>ista</w:t>
            </w:r>
          </w:p>
        </w:tc>
        <w:tc>
          <w:tcPr>
            <w:tcW w:w="2638" w:type="dxa"/>
            <w:gridSpan w:val="2"/>
            <w:tcBorders>
              <w:top w:val="single" w:sz="4" w:space="0" w:color="000000"/>
              <w:bottom w:val="single" w:sz="4" w:space="0" w:color="000000"/>
            </w:tcBorders>
            <w:shd w:val="clear" w:color="auto" w:fill="auto"/>
          </w:tcPr>
          <w:p w:rsidR="00227659" w:rsidRDefault="00CA5379">
            <w:pPr>
              <w:spacing w:line="360" w:lineRule="auto"/>
              <w:jc w:val="center"/>
              <w:rPr>
                <w:color w:val="000000"/>
                <w:sz w:val="20"/>
                <w:szCs w:val="20"/>
              </w:rPr>
            </w:pPr>
            <w:r>
              <w:rPr>
                <w:color w:val="000000"/>
                <w:sz w:val="20"/>
                <w:szCs w:val="20"/>
              </w:rPr>
              <w:t>Estrategias a</w:t>
            </w:r>
            <w:r w:rsidR="00F235DD">
              <w:rPr>
                <w:color w:val="000000"/>
                <w:sz w:val="20"/>
                <w:szCs w:val="20"/>
              </w:rPr>
              <w:t>rgumentativas</w:t>
            </w:r>
          </w:p>
        </w:tc>
        <w:tc>
          <w:tcPr>
            <w:tcW w:w="1329" w:type="dxa"/>
            <w:vMerge w:val="restart"/>
            <w:tcBorders>
              <w:top w:val="single" w:sz="4" w:space="0" w:color="000000"/>
              <w:bottom w:val="single" w:sz="4" w:space="0" w:color="000000"/>
            </w:tcBorders>
            <w:shd w:val="clear" w:color="auto" w:fill="auto"/>
          </w:tcPr>
          <w:p w:rsidR="00227659" w:rsidRDefault="00F235DD">
            <w:pPr>
              <w:spacing w:line="360" w:lineRule="auto"/>
              <w:jc w:val="center"/>
              <w:rPr>
                <w:i/>
                <w:color w:val="000000"/>
                <w:sz w:val="20"/>
                <w:szCs w:val="20"/>
              </w:rPr>
            </w:pPr>
            <w:r>
              <w:rPr>
                <w:color w:val="000000"/>
                <w:sz w:val="20"/>
                <w:szCs w:val="20"/>
              </w:rPr>
              <w:t>T</w:t>
            </w:r>
          </w:p>
        </w:tc>
      </w:tr>
      <w:tr w:rsidR="00227659" w:rsidTr="009E03E7">
        <w:trPr>
          <w:jc w:val="center"/>
        </w:trPr>
        <w:tc>
          <w:tcPr>
            <w:tcW w:w="1320" w:type="dxa"/>
            <w:tcBorders>
              <w:top w:val="single" w:sz="4" w:space="0" w:color="000000"/>
              <w:bottom w:val="single" w:sz="4" w:space="0" w:color="000000"/>
            </w:tcBorders>
            <w:shd w:val="clear" w:color="auto" w:fill="auto"/>
          </w:tcPr>
          <w:p w:rsidR="00227659" w:rsidRDefault="00F235DD">
            <w:pPr>
              <w:spacing w:line="360" w:lineRule="auto"/>
              <w:jc w:val="center"/>
              <w:rPr>
                <w:i/>
                <w:color w:val="000000"/>
                <w:sz w:val="20"/>
                <w:szCs w:val="20"/>
              </w:rPr>
            </w:pPr>
            <w:r>
              <w:rPr>
                <w:i/>
                <w:color w:val="000000"/>
                <w:sz w:val="20"/>
                <w:szCs w:val="20"/>
              </w:rPr>
              <w:t>M</w:t>
            </w:r>
          </w:p>
        </w:tc>
        <w:tc>
          <w:tcPr>
            <w:tcW w:w="1319" w:type="dxa"/>
            <w:tcBorders>
              <w:top w:val="single" w:sz="4" w:space="0" w:color="000000"/>
              <w:bottom w:val="single" w:sz="4" w:space="0" w:color="000000"/>
            </w:tcBorders>
            <w:shd w:val="clear" w:color="auto" w:fill="auto"/>
          </w:tcPr>
          <w:p w:rsidR="00227659" w:rsidRDefault="00F21DCE">
            <w:pPr>
              <w:spacing w:line="360" w:lineRule="auto"/>
              <w:jc w:val="center"/>
              <w:rPr>
                <w:i/>
                <w:color w:val="000000"/>
                <w:sz w:val="20"/>
                <w:szCs w:val="20"/>
              </w:rPr>
            </w:pPr>
            <w:r>
              <w:rPr>
                <w:i/>
                <w:color w:val="000000"/>
                <w:sz w:val="20"/>
                <w:szCs w:val="20"/>
              </w:rPr>
              <w:t>D</w:t>
            </w:r>
            <w:r w:rsidR="00F235DD">
              <w:rPr>
                <w:i/>
                <w:color w:val="000000"/>
                <w:sz w:val="20"/>
                <w:szCs w:val="20"/>
              </w:rPr>
              <w:t>E</w:t>
            </w:r>
          </w:p>
        </w:tc>
        <w:tc>
          <w:tcPr>
            <w:tcW w:w="1319" w:type="dxa"/>
            <w:tcBorders>
              <w:top w:val="single" w:sz="4" w:space="0" w:color="000000"/>
              <w:bottom w:val="single" w:sz="4" w:space="0" w:color="000000"/>
            </w:tcBorders>
            <w:shd w:val="clear" w:color="auto" w:fill="auto"/>
          </w:tcPr>
          <w:p w:rsidR="00227659" w:rsidRDefault="00F235DD">
            <w:pPr>
              <w:spacing w:line="360" w:lineRule="auto"/>
              <w:jc w:val="center"/>
              <w:rPr>
                <w:i/>
                <w:color w:val="000000"/>
                <w:sz w:val="20"/>
                <w:szCs w:val="20"/>
              </w:rPr>
            </w:pPr>
            <w:r>
              <w:rPr>
                <w:i/>
                <w:color w:val="000000"/>
                <w:sz w:val="20"/>
                <w:szCs w:val="20"/>
              </w:rPr>
              <w:t>M</w:t>
            </w:r>
          </w:p>
        </w:tc>
        <w:tc>
          <w:tcPr>
            <w:tcW w:w="1319" w:type="dxa"/>
            <w:tcBorders>
              <w:top w:val="single" w:sz="4" w:space="0" w:color="000000"/>
              <w:bottom w:val="single" w:sz="4" w:space="0" w:color="000000"/>
            </w:tcBorders>
            <w:shd w:val="clear" w:color="auto" w:fill="auto"/>
          </w:tcPr>
          <w:p w:rsidR="00227659" w:rsidRDefault="00F21DCE">
            <w:pPr>
              <w:spacing w:line="360" w:lineRule="auto"/>
              <w:jc w:val="center"/>
              <w:rPr>
                <w:color w:val="000000"/>
                <w:sz w:val="20"/>
                <w:szCs w:val="20"/>
              </w:rPr>
            </w:pPr>
            <w:r>
              <w:rPr>
                <w:i/>
                <w:color w:val="000000"/>
                <w:sz w:val="20"/>
                <w:szCs w:val="20"/>
              </w:rPr>
              <w:t>D</w:t>
            </w:r>
            <w:r w:rsidR="00F235DD">
              <w:rPr>
                <w:i/>
                <w:color w:val="000000"/>
                <w:sz w:val="20"/>
                <w:szCs w:val="20"/>
              </w:rPr>
              <w:t>E</w:t>
            </w:r>
          </w:p>
        </w:tc>
        <w:tc>
          <w:tcPr>
            <w:tcW w:w="1329" w:type="dxa"/>
            <w:vMerge/>
            <w:tcBorders>
              <w:top w:val="single" w:sz="4" w:space="0" w:color="000000"/>
              <w:bottom w:val="single" w:sz="4" w:space="0" w:color="000000"/>
            </w:tcBorders>
            <w:shd w:val="clear" w:color="auto" w:fill="auto"/>
          </w:tcPr>
          <w:p w:rsidR="00227659" w:rsidRDefault="00227659">
            <w:pPr>
              <w:snapToGrid w:val="0"/>
              <w:spacing w:line="360" w:lineRule="auto"/>
              <w:jc w:val="center"/>
              <w:rPr>
                <w:color w:val="000000"/>
                <w:sz w:val="20"/>
                <w:szCs w:val="20"/>
              </w:rPr>
            </w:pPr>
          </w:p>
        </w:tc>
      </w:tr>
      <w:tr w:rsidR="00227659" w:rsidTr="009E03E7">
        <w:trPr>
          <w:jc w:val="center"/>
        </w:trPr>
        <w:tc>
          <w:tcPr>
            <w:tcW w:w="1320" w:type="dxa"/>
            <w:tcBorders>
              <w:top w:val="single" w:sz="4" w:space="0" w:color="000000"/>
              <w:bottom w:val="single" w:sz="4" w:space="0" w:color="000000"/>
            </w:tcBorders>
            <w:shd w:val="clear" w:color="auto" w:fill="auto"/>
          </w:tcPr>
          <w:p w:rsidR="00227659" w:rsidRDefault="00F235DD">
            <w:pPr>
              <w:spacing w:line="360" w:lineRule="auto"/>
              <w:jc w:val="center"/>
              <w:rPr>
                <w:color w:val="000000"/>
                <w:sz w:val="20"/>
                <w:szCs w:val="20"/>
              </w:rPr>
            </w:pPr>
            <w:r>
              <w:rPr>
                <w:color w:val="000000"/>
                <w:sz w:val="20"/>
                <w:szCs w:val="20"/>
              </w:rPr>
              <w:t>0.62</w:t>
            </w:r>
          </w:p>
        </w:tc>
        <w:tc>
          <w:tcPr>
            <w:tcW w:w="1319" w:type="dxa"/>
            <w:tcBorders>
              <w:top w:val="single" w:sz="4" w:space="0" w:color="000000"/>
              <w:bottom w:val="single" w:sz="4" w:space="0" w:color="000000"/>
            </w:tcBorders>
            <w:shd w:val="clear" w:color="auto" w:fill="auto"/>
          </w:tcPr>
          <w:p w:rsidR="00227659" w:rsidRDefault="00F235DD">
            <w:pPr>
              <w:spacing w:line="360" w:lineRule="auto"/>
              <w:jc w:val="center"/>
              <w:rPr>
                <w:color w:val="000000"/>
                <w:sz w:val="20"/>
                <w:szCs w:val="20"/>
              </w:rPr>
            </w:pPr>
            <w:r>
              <w:rPr>
                <w:color w:val="000000"/>
                <w:sz w:val="20"/>
                <w:szCs w:val="20"/>
              </w:rPr>
              <w:t>0.86</w:t>
            </w:r>
          </w:p>
        </w:tc>
        <w:tc>
          <w:tcPr>
            <w:tcW w:w="1319" w:type="dxa"/>
            <w:tcBorders>
              <w:top w:val="single" w:sz="4" w:space="0" w:color="000000"/>
              <w:bottom w:val="single" w:sz="4" w:space="0" w:color="000000"/>
            </w:tcBorders>
            <w:shd w:val="clear" w:color="auto" w:fill="auto"/>
          </w:tcPr>
          <w:p w:rsidR="00227659" w:rsidRDefault="00F235DD">
            <w:pPr>
              <w:spacing w:line="360" w:lineRule="auto"/>
              <w:jc w:val="center"/>
              <w:rPr>
                <w:color w:val="000000"/>
                <w:sz w:val="20"/>
                <w:szCs w:val="20"/>
              </w:rPr>
            </w:pPr>
            <w:r>
              <w:rPr>
                <w:color w:val="000000"/>
                <w:sz w:val="20"/>
                <w:szCs w:val="20"/>
              </w:rPr>
              <w:t>2.26</w:t>
            </w:r>
          </w:p>
        </w:tc>
        <w:tc>
          <w:tcPr>
            <w:tcW w:w="1319" w:type="dxa"/>
            <w:tcBorders>
              <w:top w:val="single" w:sz="4" w:space="0" w:color="000000"/>
              <w:bottom w:val="single" w:sz="4" w:space="0" w:color="000000"/>
            </w:tcBorders>
            <w:shd w:val="clear" w:color="auto" w:fill="auto"/>
          </w:tcPr>
          <w:p w:rsidR="00227659" w:rsidRDefault="00F235DD">
            <w:pPr>
              <w:spacing w:line="360" w:lineRule="auto"/>
              <w:jc w:val="center"/>
              <w:rPr>
                <w:color w:val="000000"/>
                <w:sz w:val="20"/>
                <w:szCs w:val="20"/>
              </w:rPr>
            </w:pPr>
            <w:r>
              <w:rPr>
                <w:color w:val="000000"/>
                <w:sz w:val="20"/>
                <w:szCs w:val="20"/>
              </w:rPr>
              <w:t>2.29</w:t>
            </w:r>
          </w:p>
        </w:tc>
        <w:tc>
          <w:tcPr>
            <w:tcW w:w="1329" w:type="dxa"/>
            <w:tcBorders>
              <w:top w:val="single" w:sz="4" w:space="0" w:color="000000"/>
              <w:bottom w:val="single" w:sz="4" w:space="0" w:color="000000"/>
            </w:tcBorders>
            <w:shd w:val="clear" w:color="auto" w:fill="auto"/>
          </w:tcPr>
          <w:p w:rsidR="00227659" w:rsidRDefault="00F235DD">
            <w:pPr>
              <w:spacing w:line="360" w:lineRule="auto"/>
              <w:jc w:val="center"/>
              <w:rPr>
                <w:rFonts w:ascii="Arial" w:hAnsi="Arial" w:cs="Arial"/>
                <w:color w:val="000000"/>
              </w:rPr>
            </w:pPr>
            <w:r>
              <w:rPr>
                <w:color w:val="000000"/>
                <w:sz w:val="20"/>
                <w:szCs w:val="20"/>
              </w:rPr>
              <w:t>7.54**</w:t>
            </w:r>
          </w:p>
        </w:tc>
      </w:tr>
    </w:tbl>
    <w:p w:rsidR="00F21DCE" w:rsidRPr="00F21DCE" w:rsidRDefault="00F21DCE" w:rsidP="009E03E7">
      <w:pPr>
        <w:spacing w:line="360" w:lineRule="auto"/>
        <w:ind w:left="1" w:firstLine="1275"/>
        <w:jc w:val="both"/>
        <w:rPr>
          <w:color w:val="000000"/>
          <w:sz w:val="18"/>
          <w:szCs w:val="18"/>
        </w:rPr>
      </w:pPr>
      <w:r w:rsidRPr="00F21DCE">
        <w:rPr>
          <w:i/>
          <w:color w:val="000000"/>
          <w:sz w:val="18"/>
          <w:szCs w:val="18"/>
        </w:rPr>
        <w:t>Nota</w:t>
      </w:r>
      <w:r>
        <w:rPr>
          <w:i/>
          <w:color w:val="000000"/>
          <w:sz w:val="18"/>
          <w:szCs w:val="18"/>
        </w:rPr>
        <w:t xml:space="preserve">. </w:t>
      </w:r>
      <w:r w:rsidR="00632490">
        <w:rPr>
          <w:color w:val="000000"/>
          <w:sz w:val="18"/>
          <w:szCs w:val="18"/>
        </w:rPr>
        <w:t>M, Media; D</w:t>
      </w:r>
      <w:r>
        <w:rPr>
          <w:color w:val="000000"/>
          <w:sz w:val="18"/>
          <w:szCs w:val="18"/>
        </w:rPr>
        <w:t>E, Desvío Estándar.</w:t>
      </w:r>
    </w:p>
    <w:p w:rsidR="00227659" w:rsidRPr="00780573" w:rsidRDefault="00F235DD" w:rsidP="009E03E7">
      <w:pPr>
        <w:spacing w:line="360" w:lineRule="auto"/>
        <w:ind w:left="1" w:firstLine="1275"/>
        <w:jc w:val="both"/>
      </w:pPr>
      <w:r w:rsidRPr="00F21DCE">
        <w:rPr>
          <w:i/>
          <w:color w:val="000000"/>
          <w:sz w:val="18"/>
          <w:szCs w:val="18"/>
        </w:rPr>
        <w:t>** p</w:t>
      </w:r>
      <w:r w:rsidRPr="00780573">
        <w:rPr>
          <w:color w:val="000000"/>
          <w:sz w:val="18"/>
          <w:szCs w:val="18"/>
        </w:rPr>
        <w:t xml:space="preserve"> &lt; .01</w:t>
      </w:r>
      <w:r w:rsidR="00F21DCE">
        <w:rPr>
          <w:color w:val="000000"/>
          <w:sz w:val="18"/>
          <w:szCs w:val="18"/>
        </w:rPr>
        <w:t xml:space="preserve"> </w:t>
      </w:r>
    </w:p>
    <w:p w:rsidR="00227659" w:rsidRDefault="00227659">
      <w:pPr>
        <w:spacing w:line="360" w:lineRule="auto"/>
        <w:jc w:val="both"/>
      </w:pPr>
    </w:p>
    <w:p w:rsidR="00227659" w:rsidRDefault="00F235DD">
      <w:pPr>
        <w:spacing w:line="480" w:lineRule="auto"/>
        <w:ind w:firstLine="709"/>
        <w:jc w:val="both"/>
      </w:pPr>
      <w:r>
        <w:rPr>
          <w:color w:val="000000"/>
        </w:rPr>
        <w:t>Los resultados del análisis muestran diferencias significativas entre el uso de estrategias y el punto de vista  en la muestra completa (</w:t>
      </w:r>
      <w:r>
        <w:rPr>
          <w:i/>
          <w:color w:val="000000"/>
        </w:rPr>
        <w:t>t</w:t>
      </w:r>
      <w:r>
        <w:rPr>
          <w:color w:val="000000"/>
          <w:vertAlign w:val="subscript"/>
        </w:rPr>
        <w:t>(122)</w:t>
      </w:r>
      <w:r>
        <w:rPr>
          <w:color w:val="000000"/>
        </w:rPr>
        <w:t xml:space="preserve"> = 7.54, </w:t>
      </w:r>
      <w:r>
        <w:rPr>
          <w:i/>
          <w:color w:val="000000"/>
        </w:rPr>
        <w:t>SE</w:t>
      </w:r>
      <w:r>
        <w:rPr>
          <w:color w:val="000000"/>
        </w:rPr>
        <w:t xml:space="preserve"> = 0.22, </w:t>
      </w:r>
      <w:r>
        <w:rPr>
          <w:i/>
          <w:color w:val="000000"/>
        </w:rPr>
        <w:t>p</w:t>
      </w:r>
      <w:r>
        <w:rPr>
          <w:color w:val="000000"/>
        </w:rPr>
        <w:t xml:space="preserve"> &lt; .001).  De acuerdo con este resultado, los sujetos tienden a utilizar significativamente más estrategias en comparación con la mera expresión del punto de vista.  Por su parte, en la Tabla 2 que se presenta a continuación, se distinguen los casos correspondientes a cada una de las estrategias.  </w:t>
      </w:r>
    </w:p>
    <w:p w:rsidR="00227659" w:rsidRDefault="00227659">
      <w:pPr>
        <w:spacing w:line="360" w:lineRule="auto"/>
        <w:jc w:val="both"/>
      </w:pPr>
    </w:p>
    <w:p w:rsidR="00227659" w:rsidRDefault="00F235DD">
      <w:pPr>
        <w:spacing w:line="360" w:lineRule="auto"/>
        <w:ind w:firstLine="709"/>
        <w:jc w:val="both"/>
        <w:rPr>
          <w:i/>
          <w:color w:val="000000"/>
        </w:rPr>
      </w:pPr>
      <w:r>
        <w:rPr>
          <w:color w:val="000000"/>
        </w:rPr>
        <w:t>Tabla 2</w:t>
      </w:r>
    </w:p>
    <w:p w:rsidR="00227659" w:rsidRDefault="00F235DD">
      <w:pPr>
        <w:spacing w:line="360" w:lineRule="auto"/>
        <w:ind w:left="709"/>
        <w:jc w:val="both"/>
      </w:pPr>
      <w:r>
        <w:rPr>
          <w:i/>
          <w:color w:val="000000"/>
        </w:rPr>
        <w:t>Expresión del Punto de Vista y Estrategias Argumentativas</w:t>
      </w:r>
    </w:p>
    <w:p w:rsidR="00227659" w:rsidRDefault="00227659">
      <w:pPr>
        <w:spacing w:line="360" w:lineRule="auto"/>
      </w:pPr>
    </w:p>
    <w:tbl>
      <w:tblPr>
        <w:tblW w:w="0" w:type="auto"/>
        <w:jc w:val="center"/>
        <w:tblInd w:w="70" w:type="dxa"/>
        <w:tblLayout w:type="fixed"/>
        <w:tblCellMar>
          <w:left w:w="70" w:type="dxa"/>
          <w:right w:w="70" w:type="dxa"/>
        </w:tblCellMar>
        <w:tblLook w:val="0000"/>
      </w:tblPr>
      <w:tblGrid>
        <w:gridCol w:w="3569"/>
        <w:gridCol w:w="1110"/>
        <w:gridCol w:w="946"/>
        <w:gridCol w:w="946"/>
        <w:gridCol w:w="958"/>
      </w:tblGrid>
      <w:tr w:rsidR="00227659" w:rsidTr="00F56F21">
        <w:trPr>
          <w:trHeight w:val="300"/>
          <w:jc w:val="center"/>
        </w:trPr>
        <w:tc>
          <w:tcPr>
            <w:tcW w:w="3569" w:type="dxa"/>
            <w:tcBorders>
              <w:top w:val="single" w:sz="4" w:space="0" w:color="000000"/>
              <w:bottom w:val="single" w:sz="4" w:space="0" w:color="000000"/>
            </w:tcBorders>
            <w:shd w:val="clear" w:color="auto" w:fill="FFFFFF"/>
            <w:vAlign w:val="bottom"/>
          </w:tcPr>
          <w:p w:rsidR="00227659" w:rsidRDefault="00F56F21" w:rsidP="0006469F">
            <w:pPr>
              <w:snapToGrid w:val="0"/>
              <w:spacing w:line="360" w:lineRule="auto"/>
              <w:jc w:val="center"/>
              <w:rPr>
                <w:i/>
                <w:color w:val="000000"/>
                <w:sz w:val="20"/>
                <w:szCs w:val="20"/>
              </w:rPr>
            </w:pPr>
            <w:r>
              <w:rPr>
                <w:sz w:val="20"/>
                <w:szCs w:val="20"/>
              </w:rPr>
              <w:lastRenderedPageBreak/>
              <w:t xml:space="preserve">Punto de </w:t>
            </w:r>
            <w:r w:rsidR="0006469F">
              <w:rPr>
                <w:sz w:val="20"/>
                <w:szCs w:val="20"/>
              </w:rPr>
              <w:t>v</w:t>
            </w:r>
            <w:r>
              <w:rPr>
                <w:sz w:val="20"/>
                <w:szCs w:val="20"/>
              </w:rPr>
              <w:t xml:space="preserve">ista y </w:t>
            </w:r>
            <w:r w:rsidR="0006469F">
              <w:rPr>
                <w:sz w:val="20"/>
                <w:szCs w:val="20"/>
              </w:rPr>
              <w:t>e</w:t>
            </w:r>
            <w:r w:rsidR="00F235DD">
              <w:rPr>
                <w:sz w:val="20"/>
                <w:szCs w:val="20"/>
              </w:rPr>
              <w:t>strategias</w:t>
            </w:r>
            <w:r>
              <w:rPr>
                <w:sz w:val="20"/>
                <w:szCs w:val="20"/>
              </w:rPr>
              <w:t xml:space="preserve"> </w:t>
            </w:r>
            <w:r w:rsidR="0006469F">
              <w:rPr>
                <w:sz w:val="20"/>
                <w:szCs w:val="20"/>
              </w:rPr>
              <w:t>a</w:t>
            </w:r>
            <w:r>
              <w:rPr>
                <w:sz w:val="20"/>
                <w:szCs w:val="20"/>
              </w:rPr>
              <w:t>rgumentativas</w:t>
            </w:r>
          </w:p>
        </w:tc>
        <w:tc>
          <w:tcPr>
            <w:tcW w:w="1110" w:type="dxa"/>
            <w:tcBorders>
              <w:top w:val="single" w:sz="4" w:space="0" w:color="000000"/>
              <w:bottom w:val="single" w:sz="4" w:space="0" w:color="000000"/>
            </w:tcBorders>
            <w:shd w:val="clear" w:color="auto" w:fill="FFFFFF"/>
            <w:vAlign w:val="bottom"/>
          </w:tcPr>
          <w:p w:rsidR="00227659" w:rsidRDefault="00F235DD" w:rsidP="0006469F">
            <w:pPr>
              <w:spacing w:line="360" w:lineRule="auto"/>
              <w:jc w:val="center"/>
              <w:rPr>
                <w:i/>
                <w:color w:val="000000"/>
                <w:sz w:val="20"/>
                <w:szCs w:val="20"/>
              </w:rPr>
            </w:pPr>
            <w:r>
              <w:rPr>
                <w:i/>
                <w:color w:val="000000"/>
                <w:sz w:val="20"/>
                <w:szCs w:val="20"/>
              </w:rPr>
              <w:t>M</w:t>
            </w:r>
          </w:p>
        </w:tc>
        <w:tc>
          <w:tcPr>
            <w:tcW w:w="946" w:type="dxa"/>
            <w:tcBorders>
              <w:top w:val="single" w:sz="4" w:space="0" w:color="000000"/>
              <w:bottom w:val="single" w:sz="4" w:space="0" w:color="000000"/>
            </w:tcBorders>
            <w:shd w:val="clear" w:color="auto" w:fill="FFFFFF"/>
            <w:vAlign w:val="bottom"/>
          </w:tcPr>
          <w:p w:rsidR="00227659" w:rsidRDefault="00F235DD" w:rsidP="0006469F">
            <w:pPr>
              <w:spacing w:line="360" w:lineRule="auto"/>
              <w:jc w:val="center"/>
              <w:rPr>
                <w:i/>
                <w:color w:val="000000"/>
                <w:sz w:val="20"/>
                <w:szCs w:val="20"/>
              </w:rPr>
            </w:pPr>
            <w:r>
              <w:rPr>
                <w:i/>
                <w:color w:val="000000"/>
                <w:sz w:val="20"/>
                <w:szCs w:val="20"/>
              </w:rPr>
              <w:t>DE</w:t>
            </w:r>
          </w:p>
        </w:tc>
        <w:tc>
          <w:tcPr>
            <w:tcW w:w="946" w:type="dxa"/>
            <w:tcBorders>
              <w:top w:val="single" w:sz="4" w:space="0" w:color="000000"/>
              <w:bottom w:val="single" w:sz="4" w:space="0" w:color="000000"/>
            </w:tcBorders>
            <w:shd w:val="clear" w:color="auto" w:fill="FFFFFF"/>
            <w:vAlign w:val="bottom"/>
          </w:tcPr>
          <w:p w:rsidR="00227659" w:rsidRDefault="00F235DD" w:rsidP="0006469F">
            <w:pPr>
              <w:spacing w:line="360" w:lineRule="auto"/>
              <w:jc w:val="center"/>
              <w:rPr>
                <w:i/>
                <w:color w:val="000000"/>
                <w:sz w:val="20"/>
                <w:szCs w:val="20"/>
              </w:rPr>
            </w:pPr>
            <w:r>
              <w:rPr>
                <w:i/>
                <w:color w:val="000000"/>
                <w:sz w:val="20"/>
                <w:szCs w:val="20"/>
              </w:rPr>
              <w:t>mín.</w:t>
            </w:r>
          </w:p>
        </w:tc>
        <w:tc>
          <w:tcPr>
            <w:tcW w:w="958" w:type="dxa"/>
            <w:tcBorders>
              <w:top w:val="single" w:sz="4" w:space="0" w:color="000000"/>
              <w:bottom w:val="single" w:sz="4" w:space="0" w:color="000000"/>
            </w:tcBorders>
            <w:shd w:val="clear" w:color="auto" w:fill="FFFFFF"/>
            <w:vAlign w:val="bottom"/>
          </w:tcPr>
          <w:p w:rsidR="00227659" w:rsidRDefault="00F235DD" w:rsidP="0006469F">
            <w:pPr>
              <w:spacing w:line="360" w:lineRule="auto"/>
              <w:jc w:val="center"/>
              <w:rPr>
                <w:color w:val="000000"/>
                <w:sz w:val="20"/>
                <w:szCs w:val="20"/>
              </w:rPr>
            </w:pPr>
            <w:r>
              <w:rPr>
                <w:i/>
                <w:color w:val="000000"/>
                <w:sz w:val="20"/>
                <w:szCs w:val="20"/>
              </w:rPr>
              <w:t>max.</w:t>
            </w:r>
          </w:p>
        </w:tc>
      </w:tr>
      <w:tr w:rsidR="00227659" w:rsidTr="00F56F21">
        <w:trPr>
          <w:trHeight w:val="300"/>
          <w:jc w:val="center"/>
        </w:trPr>
        <w:tc>
          <w:tcPr>
            <w:tcW w:w="3569" w:type="dxa"/>
            <w:tcBorders>
              <w:top w:val="single" w:sz="4" w:space="0" w:color="000000"/>
            </w:tcBorders>
            <w:shd w:val="clear" w:color="auto" w:fill="FFFFFF"/>
            <w:vAlign w:val="bottom"/>
          </w:tcPr>
          <w:p w:rsidR="00227659" w:rsidRDefault="0006469F" w:rsidP="00F039EB">
            <w:pPr>
              <w:spacing w:line="360" w:lineRule="auto"/>
              <w:rPr>
                <w:color w:val="000000"/>
                <w:sz w:val="20"/>
                <w:szCs w:val="20"/>
              </w:rPr>
            </w:pPr>
            <w:r>
              <w:rPr>
                <w:color w:val="000000"/>
                <w:sz w:val="20"/>
                <w:szCs w:val="20"/>
              </w:rPr>
              <w:t>Punto de v</w:t>
            </w:r>
            <w:r w:rsidR="00F235DD">
              <w:rPr>
                <w:color w:val="000000"/>
                <w:sz w:val="20"/>
                <w:szCs w:val="20"/>
              </w:rPr>
              <w:t>ista</w:t>
            </w:r>
          </w:p>
        </w:tc>
        <w:tc>
          <w:tcPr>
            <w:tcW w:w="1110" w:type="dxa"/>
            <w:tcBorders>
              <w:top w:val="single" w:sz="4" w:space="0" w:color="000000"/>
            </w:tcBorders>
            <w:shd w:val="clear" w:color="auto" w:fill="FFFFFF"/>
          </w:tcPr>
          <w:p w:rsidR="00227659" w:rsidRDefault="00F235DD" w:rsidP="0006469F">
            <w:pPr>
              <w:tabs>
                <w:tab w:val="left" w:pos="930"/>
              </w:tabs>
              <w:spacing w:line="360" w:lineRule="auto"/>
              <w:jc w:val="center"/>
              <w:rPr>
                <w:color w:val="000000"/>
                <w:sz w:val="20"/>
                <w:szCs w:val="20"/>
              </w:rPr>
            </w:pPr>
            <w:r>
              <w:rPr>
                <w:color w:val="000000"/>
                <w:sz w:val="20"/>
                <w:szCs w:val="20"/>
              </w:rPr>
              <w:t>.61</w:t>
            </w:r>
          </w:p>
        </w:tc>
        <w:tc>
          <w:tcPr>
            <w:tcW w:w="946" w:type="dxa"/>
            <w:tcBorders>
              <w:top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.82</w:t>
            </w:r>
          </w:p>
        </w:tc>
        <w:tc>
          <w:tcPr>
            <w:tcW w:w="946" w:type="dxa"/>
            <w:tcBorders>
              <w:top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tcBorders>
              <w:top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4</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Reiteración 1</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.41</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.75</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4</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Reiteración 2</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.29</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.66</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4</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Anticipación</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.15</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.49</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3</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Narración</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.15</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.49</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3</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Descripción</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.74</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.98</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6</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Generalización</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.13</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.38</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2</w:t>
            </w:r>
          </w:p>
        </w:tc>
      </w:tr>
      <w:tr w:rsidR="00227659" w:rsidTr="00F56F21">
        <w:trPr>
          <w:trHeight w:val="300"/>
          <w:jc w:val="center"/>
        </w:trPr>
        <w:tc>
          <w:tcPr>
            <w:tcW w:w="3569" w:type="dxa"/>
            <w:shd w:val="clear" w:color="auto" w:fill="FFFFFF"/>
            <w:vAlign w:val="bottom"/>
          </w:tcPr>
          <w:p w:rsidR="00227659" w:rsidRDefault="0006469F" w:rsidP="00F039EB">
            <w:pPr>
              <w:spacing w:line="360" w:lineRule="auto"/>
              <w:rPr>
                <w:color w:val="000000"/>
                <w:sz w:val="20"/>
                <w:szCs w:val="20"/>
              </w:rPr>
            </w:pPr>
            <w:r>
              <w:rPr>
                <w:color w:val="000000"/>
                <w:sz w:val="20"/>
                <w:szCs w:val="20"/>
              </w:rPr>
              <w:t>Apelación a la a</w:t>
            </w:r>
            <w:r w:rsidR="00F235DD">
              <w:rPr>
                <w:color w:val="000000"/>
                <w:sz w:val="20"/>
                <w:szCs w:val="20"/>
              </w:rPr>
              <w:t>utoridad</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.11</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.41</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2</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Cortesía</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.15</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.53</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3</w:t>
            </w:r>
          </w:p>
        </w:tc>
      </w:tr>
      <w:tr w:rsidR="00227659" w:rsidTr="00F56F21">
        <w:trPr>
          <w:trHeight w:val="300"/>
          <w:jc w:val="center"/>
        </w:trPr>
        <w:tc>
          <w:tcPr>
            <w:tcW w:w="3569" w:type="dxa"/>
            <w:tcBorders>
              <w:bottom w:val="single" w:sz="4" w:space="0" w:color="000000"/>
            </w:tcBorders>
            <w:shd w:val="clear" w:color="auto" w:fill="FFFFFF"/>
            <w:vAlign w:val="bottom"/>
          </w:tcPr>
          <w:p w:rsidR="00227659" w:rsidRDefault="0006469F" w:rsidP="00F039EB">
            <w:pPr>
              <w:spacing w:line="360" w:lineRule="auto"/>
              <w:rPr>
                <w:color w:val="000000"/>
                <w:sz w:val="20"/>
                <w:szCs w:val="20"/>
              </w:rPr>
            </w:pPr>
            <w:r>
              <w:rPr>
                <w:color w:val="000000"/>
                <w:sz w:val="20"/>
                <w:szCs w:val="20"/>
              </w:rPr>
              <w:t>Propuesta a</w:t>
            </w:r>
            <w:r w:rsidR="00F235DD">
              <w:rPr>
                <w:color w:val="000000"/>
                <w:sz w:val="20"/>
                <w:szCs w:val="20"/>
              </w:rPr>
              <w:t>lternativa</w:t>
            </w:r>
          </w:p>
        </w:tc>
        <w:tc>
          <w:tcPr>
            <w:tcW w:w="1110" w:type="dxa"/>
            <w:tcBorders>
              <w:bottom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.14</w:t>
            </w:r>
          </w:p>
        </w:tc>
        <w:tc>
          <w:tcPr>
            <w:tcW w:w="946" w:type="dxa"/>
            <w:tcBorders>
              <w:bottom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.43</w:t>
            </w:r>
          </w:p>
        </w:tc>
        <w:tc>
          <w:tcPr>
            <w:tcW w:w="946" w:type="dxa"/>
            <w:tcBorders>
              <w:bottom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tcBorders>
              <w:bottom w:val="single" w:sz="4" w:space="0" w:color="000000"/>
            </w:tcBorders>
            <w:shd w:val="clear" w:color="auto" w:fill="FFFFFF"/>
          </w:tcPr>
          <w:p w:rsidR="00227659" w:rsidRDefault="00F235DD" w:rsidP="0006469F">
            <w:pPr>
              <w:spacing w:line="360" w:lineRule="auto"/>
              <w:jc w:val="center"/>
            </w:pPr>
            <w:r>
              <w:rPr>
                <w:color w:val="000000"/>
                <w:sz w:val="20"/>
                <w:szCs w:val="20"/>
              </w:rPr>
              <w:t>3</w:t>
            </w:r>
          </w:p>
        </w:tc>
      </w:tr>
    </w:tbl>
    <w:p w:rsidR="00F21DCE" w:rsidRPr="00F21DCE" w:rsidRDefault="00F21DCE" w:rsidP="00F21DCE">
      <w:pPr>
        <w:spacing w:line="360" w:lineRule="auto"/>
        <w:jc w:val="both"/>
        <w:rPr>
          <w:color w:val="000000"/>
          <w:sz w:val="18"/>
          <w:szCs w:val="18"/>
        </w:rPr>
      </w:pPr>
      <w:r>
        <w:rPr>
          <w:i/>
          <w:color w:val="000000"/>
          <w:sz w:val="18"/>
          <w:szCs w:val="18"/>
        </w:rPr>
        <w:t xml:space="preserve">                 </w:t>
      </w:r>
      <w:r w:rsidRPr="00F21DCE">
        <w:rPr>
          <w:i/>
          <w:color w:val="000000"/>
          <w:sz w:val="18"/>
          <w:szCs w:val="18"/>
        </w:rPr>
        <w:t>Nota</w:t>
      </w:r>
      <w:r>
        <w:rPr>
          <w:i/>
          <w:color w:val="000000"/>
          <w:sz w:val="18"/>
          <w:szCs w:val="18"/>
        </w:rPr>
        <w:t xml:space="preserve">. </w:t>
      </w:r>
      <w:r>
        <w:rPr>
          <w:color w:val="000000"/>
          <w:sz w:val="18"/>
          <w:szCs w:val="18"/>
        </w:rPr>
        <w:t>M, Media; DE, Desvío Estándar.</w:t>
      </w:r>
    </w:p>
    <w:p w:rsidR="00227659" w:rsidRDefault="00227659">
      <w:pPr>
        <w:spacing w:line="360" w:lineRule="auto"/>
      </w:pPr>
    </w:p>
    <w:p w:rsidR="00227659" w:rsidRDefault="00F235DD">
      <w:pPr>
        <w:spacing w:line="480" w:lineRule="auto"/>
        <w:ind w:left="38" w:firstLine="670"/>
        <w:jc w:val="both"/>
        <w:rPr>
          <w:color w:val="000000"/>
          <w:lang w:val="es-MX"/>
        </w:rPr>
      </w:pPr>
      <w:r>
        <w:rPr>
          <w:color w:val="000000"/>
          <w:lang w:val="es-MX"/>
        </w:rPr>
        <w:t xml:space="preserve">Con el objeto de establecer la significatividad de las diferencias en el empleo de las diversas estrategias argumentativas, se realizó un análisis de varianza de medidas repetidas según el modelo ANOVA de un factor fijo.  El análisis de varianza detecta diferencias significativas entre las estrategias </w:t>
      </w:r>
      <w:r>
        <w:rPr>
          <w:i/>
          <w:color w:val="000000"/>
          <w:lang w:val="es-MX"/>
        </w:rPr>
        <w:t>F</w:t>
      </w:r>
      <w:r>
        <w:rPr>
          <w:color w:val="000000"/>
          <w:lang w:val="es-MX"/>
        </w:rPr>
        <w:t xml:space="preserve"> </w:t>
      </w:r>
      <w:r>
        <w:rPr>
          <w:color w:val="000000"/>
          <w:sz w:val="14"/>
          <w:lang w:val="es-MX"/>
        </w:rPr>
        <w:t>(8, 976)</w:t>
      </w:r>
      <w:r>
        <w:rPr>
          <w:color w:val="000000"/>
          <w:lang w:val="es-MX"/>
        </w:rPr>
        <w:t xml:space="preserve"> = 15.47, </w:t>
      </w:r>
      <w:r>
        <w:rPr>
          <w:i/>
          <w:color w:val="000000"/>
          <w:lang w:val="es-MX"/>
        </w:rPr>
        <w:t xml:space="preserve">MSE </w:t>
      </w:r>
      <w:r>
        <w:rPr>
          <w:color w:val="000000"/>
          <w:lang w:val="es-MX"/>
        </w:rPr>
        <w:t xml:space="preserve">= .33, </w:t>
      </w:r>
      <w:r>
        <w:rPr>
          <w:i/>
          <w:color w:val="000000"/>
          <w:lang w:val="es-MX"/>
        </w:rPr>
        <w:t>p</w:t>
      </w:r>
      <w:r>
        <w:rPr>
          <w:color w:val="000000"/>
          <w:lang w:val="es-MX"/>
        </w:rPr>
        <w:t xml:space="preserve"> &lt; .001.  El análisis post-hoc realizado, muestra diferencias significativas a favor de la estrategia de descripción en comparación con el resto de las estrategias (</w:t>
      </w:r>
      <w:r>
        <w:rPr>
          <w:i/>
          <w:color w:val="000000"/>
          <w:lang w:val="es-MX"/>
        </w:rPr>
        <w:t>p</w:t>
      </w:r>
      <w:r>
        <w:rPr>
          <w:color w:val="000000"/>
          <w:lang w:val="es-MX"/>
        </w:rPr>
        <w:t xml:space="preserve"> &lt; .001).  Por otro lado, la estrategia de </w:t>
      </w:r>
      <w:r>
        <w:rPr>
          <w:i/>
          <w:color w:val="000000"/>
          <w:lang w:val="es-MX"/>
        </w:rPr>
        <w:t>Reiteración 1</w:t>
      </w:r>
      <w:r>
        <w:rPr>
          <w:color w:val="000000"/>
          <w:lang w:val="es-MX"/>
        </w:rPr>
        <w:t xml:space="preserve"> se diferenció significativamente (</w:t>
      </w:r>
      <w:r>
        <w:rPr>
          <w:i/>
          <w:color w:val="000000"/>
          <w:lang w:val="es-MX"/>
        </w:rPr>
        <w:t>p</w:t>
      </w:r>
      <w:r>
        <w:rPr>
          <w:color w:val="000000"/>
          <w:lang w:val="es-MX"/>
        </w:rPr>
        <w:t xml:space="preserve"> &lt; .05) de la estrategia de </w:t>
      </w:r>
      <w:r>
        <w:rPr>
          <w:i/>
          <w:color w:val="000000"/>
          <w:lang w:val="es-MX"/>
        </w:rPr>
        <w:t>Generalización</w:t>
      </w:r>
      <w:r>
        <w:rPr>
          <w:color w:val="000000"/>
          <w:lang w:val="es-MX"/>
        </w:rPr>
        <w:t xml:space="preserve"> y de </w:t>
      </w:r>
      <w:r>
        <w:rPr>
          <w:i/>
          <w:color w:val="000000"/>
          <w:lang w:val="es-MX"/>
        </w:rPr>
        <w:t>Apelación a la Autoridad</w:t>
      </w:r>
      <w:r>
        <w:rPr>
          <w:color w:val="000000"/>
          <w:lang w:val="es-MX"/>
        </w:rPr>
        <w:t>, pero no así del resto.  Las restantes estrategias no mostraron diferencias significativas entre sí.</w:t>
      </w:r>
    </w:p>
    <w:p w:rsidR="00227659" w:rsidRDefault="00F235DD">
      <w:pPr>
        <w:spacing w:line="480" w:lineRule="auto"/>
        <w:ind w:left="38" w:firstLine="670"/>
        <w:jc w:val="both"/>
        <w:rPr>
          <w:color w:val="000000"/>
          <w:lang w:val="es-MX"/>
        </w:rPr>
      </w:pPr>
      <w:r>
        <w:rPr>
          <w:color w:val="000000"/>
          <w:lang w:val="es-MX"/>
        </w:rPr>
        <w:t>Con respecto a la relación entre</w:t>
      </w:r>
      <w:r>
        <w:rPr>
          <w:color w:val="000000"/>
        </w:rPr>
        <w:t xml:space="preserve"> el uso de estrategias argumentativas en las situaciones de disputa y la edad de los niños, los resultados mostraron que el uso difiere en función de la edad.  En la Tabla 3 se presentan </w:t>
      </w:r>
      <w:r>
        <w:rPr>
          <w:color w:val="000000"/>
          <w:lang w:val="es-MX"/>
        </w:rPr>
        <w:t xml:space="preserve">para cada grupo de edad, 3, 4 y 5 años, los estadísticos descriptivos, medias y desvíos estándar, de la mera expresión del punto de vista y de las estrategias argumentativas consideradas conjuntamente. Se analizaron las diferencias entre las medias por medio de la prueba de </w:t>
      </w:r>
      <w:r>
        <w:rPr>
          <w:i/>
          <w:color w:val="000000"/>
          <w:lang w:val="es-MX"/>
        </w:rPr>
        <w:t>t</w:t>
      </w:r>
      <w:r>
        <w:rPr>
          <w:color w:val="000000"/>
          <w:lang w:val="es-MX"/>
        </w:rPr>
        <w:t xml:space="preserve"> de Student.</w:t>
      </w:r>
    </w:p>
    <w:p w:rsidR="00227659" w:rsidRDefault="00227659">
      <w:pPr>
        <w:spacing w:line="480" w:lineRule="auto"/>
        <w:rPr>
          <w:color w:val="000000"/>
          <w:lang w:val="es-MX"/>
        </w:rPr>
      </w:pPr>
    </w:p>
    <w:p w:rsidR="00227659" w:rsidRDefault="00F235DD">
      <w:pPr>
        <w:spacing w:line="360" w:lineRule="auto"/>
        <w:ind w:left="1134"/>
        <w:rPr>
          <w:i/>
          <w:color w:val="000000"/>
          <w:lang w:val="es-MX"/>
        </w:rPr>
      </w:pPr>
      <w:r>
        <w:rPr>
          <w:color w:val="000000"/>
          <w:lang w:val="es-MX"/>
        </w:rPr>
        <w:t>Tabla 3</w:t>
      </w:r>
    </w:p>
    <w:p w:rsidR="00227659" w:rsidRDefault="00F235DD">
      <w:pPr>
        <w:spacing w:line="360" w:lineRule="auto"/>
        <w:ind w:left="1134" w:right="1132"/>
        <w:rPr>
          <w:rFonts w:ascii="Arial" w:hAnsi="Arial" w:cs="Arial"/>
          <w:color w:val="000000"/>
          <w:lang w:val="es-MX"/>
        </w:rPr>
      </w:pPr>
      <w:r>
        <w:rPr>
          <w:i/>
          <w:color w:val="000000"/>
          <w:lang w:val="es-MX"/>
        </w:rPr>
        <w:lastRenderedPageBreak/>
        <w:t xml:space="preserve"> Mera Expresión del Punto de Vista y Estrategias Argumentativas para Cada Grupo de Edad.  </w:t>
      </w:r>
    </w:p>
    <w:p w:rsidR="00227659" w:rsidRDefault="00227659">
      <w:pPr>
        <w:spacing w:line="360" w:lineRule="auto"/>
        <w:rPr>
          <w:rFonts w:ascii="Arial" w:hAnsi="Arial" w:cs="Arial"/>
          <w:color w:val="000000"/>
          <w:lang w:val="es-MX"/>
        </w:rPr>
      </w:pPr>
    </w:p>
    <w:tbl>
      <w:tblPr>
        <w:tblW w:w="0" w:type="auto"/>
        <w:jc w:val="center"/>
        <w:tblInd w:w="70" w:type="dxa"/>
        <w:tblLayout w:type="fixed"/>
        <w:tblCellMar>
          <w:left w:w="70" w:type="dxa"/>
          <w:right w:w="70" w:type="dxa"/>
        </w:tblCellMar>
        <w:tblLook w:val="0000"/>
      </w:tblPr>
      <w:tblGrid>
        <w:gridCol w:w="1047"/>
        <w:gridCol w:w="1134"/>
        <w:gridCol w:w="851"/>
        <w:gridCol w:w="1276"/>
        <w:gridCol w:w="1275"/>
        <w:gridCol w:w="1044"/>
      </w:tblGrid>
      <w:tr w:rsidR="00227659" w:rsidTr="0006469F">
        <w:trPr>
          <w:trHeight w:val="300"/>
          <w:jc w:val="center"/>
        </w:trPr>
        <w:tc>
          <w:tcPr>
            <w:tcW w:w="1047" w:type="dxa"/>
            <w:tcBorders>
              <w:top w:val="single" w:sz="4" w:space="0" w:color="auto"/>
            </w:tcBorders>
            <w:shd w:val="clear" w:color="auto" w:fill="auto"/>
            <w:vAlign w:val="bottom"/>
          </w:tcPr>
          <w:p w:rsidR="00227659" w:rsidRDefault="00F56F21" w:rsidP="0006469F">
            <w:pPr>
              <w:snapToGrid w:val="0"/>
              <w:spacing w:line="360" w:lineRule="auto"/>
              <w:jc w:val="center"/>
              <w:rPr>
                <w:color w:val="000000"/>
                <w:sz w:val="20"/>
                <w:szCs w:val="20"/>
                <w:lang w:val="es-MX"/>
              </w:rPr>
            </w:pPr>
            <w:r>
              <w:rPr>
                <w:color w:val="000000"/>
                <w:sz w:val="20"/>
                <w:szCs w:val="20"/>
                <w:lang w:val="es-MX"/>
              </w:rPr>
              <w:t>Edad</w:t>
            </w:r>
          </w:p>
        </w:tc>
        <w:tc>
          <w:tcPr>
            <w:tcW w:w="1985" w:type="dxa"/>
            <w:gridSpan w:val="2"/>
            <w:tcBorders>
              <w:top w:val="single" w:sz="4" w:space="0" w:color="auto"/>
            </w:tcBorders>
            <w:shd w:val="clear" w:color="auto" w:fill="auto"/>
            <w:vAlign w:val="bottom"/>
          </w:tcPr>
          <w:p w:rsidR="00227659" w:rsidRDefault="0006469F" w:rsidP="0006469F">
            <w:pPr>
              <w:spacing w:line="360" w:lineRule="auto"/>
              <w:jc w:val="center"/>
              <w:rPr>
                <w:color w:val="000000"/>
                <w:sz w:val="20"/>
                <w:szCs w:val="20"/>
                <w:lang w:val="es-MX"/>
              </w:rPr>
            </w:pPr>
            <w:r>
              <w:rPr>
                <w:color w:val="000000"/>
                <w:sz w:val="20"/>
                <w:szCs w:val="20"/>
                <w:lang w:val="es-MX"/>
              </w:rPr>
              <w:t>Punto de v</w:t>
            </w:r>
            <w:r w:rsidR="00F235DD">
              <w:rPr>
                <w:color w:val="000000"/>
                <w:sz w:val="20"/>
                <w:szCs w:val="20"/>
                <w:lang w:val="es-MX"/>
              </w:rPr>
              <w:t>ista</w:t>
            </w:r>
          </w:p>
        </w:tc>
        <w:tc>
          <w:tcPr>
            <w:tcW w:w="2551" w:type="dxa"/>
            <w:gridSpan w:val="2"/>
            <w:tcBorders>
              <w:top w:val="single" w:sz="4" w:space="0" w:color="auto"/>
            </w:tcBorders>
            <w:shd w:val="clear" w:color="auto" w:fill="auto"/>
            <w:vAlign w:val="bottom"/>
          </w:tcPr>
          <w:p w:rsidR="00227659" w:rsidRDefault="00F235DD" w:rsidP="0006469F">
            <w:pPr>
              <w:spacing w:line="360" w:lineRule="auto"/>
              <w:jc w:val="center"/>
              <w:rPr>
                <w:i/>
                <w:color w:val="000000"/>
                <w:sz w:val="20"/>
                <w:szCs w:val="20"/>
                <w:lang w:val="es-MX"/>
              </w:rPr>
            </w:pPr>
            <w:r>
              <w:rPr>
                <w:color w:val="000000"/>
                <w:sz w:val="20"/>
                <w:szCs w:val="20"/>
                <w:lang w:val="es-MX"/>
              </w:rPr>
              <w:t>Estrategias</w:t>
            </w:r>
            <w:r w:rsidR="0006469F">
              <w:rPr>
                <w:color w:val="000000"/>
                <w:sz w:val="20"/>
                <w:szCs w:val="20"/>
                <w:lang w:val="es-MX"/>
              </w:rPr>
              <w:t xml:space="preserve"> argumentativas</w:t>
            </w:r>
          </w:p>
        </w:tc>
        <w:tc>
          <w:tcPr>
            <w:tcW w:w="1044" w:type="dxa"/>
            <w:vMerge w:val="restart"/>
            <w:tcBorders>
              <w:top w:val="single" w:sz="4" w:space="0" w:color="auto"/>
              <w:bottom w:val="single" w:sz="4" w:space="0" w:color="000000"/>
            </w:tcBorders>
            <w:shd w:val="clear" w:color="auto" w:fill="auto"/>
            <w:vAlign w:val="center"/>
          </w:tcPr>
          <w:p w:rsidR="00227659" w:rsidRDefault="00F235DD" w:rsidP="0006469F">
            <w:pPr>
              <w:spacing w:line="360" w:lineRule="auto"/>
              <w:jc w:val="center"/>
              <w:rPr>
                <w:rFonts w:ascii="Arial" w:hAnsi="Arial" w:cs="Arial"/>
                <w:color w:val="000000"/>
                <w:sz w:val="20"/>
                <w:szCs w:val="20"/>
                <w:lang w:val="es-MX"/>
              </w:rPr>
            </w:pPr>
            <w:r>
              <w:rPr>
                <w:i/>
                <w:color w:val="000000"/>
                <w:sz w:val="20"/>
                <w:szCs w:val="20"/>
                <w:lang w:val="es-MX"/>
              </w:rPr>
              <w:t>T</w:t>
            </w:r>
          </w:p>
        </w:tc>
      </w:tr>
      <w:tr w:rsidR="00227659" w:rsidTr="0006469F">
        <w:trPr>
          <w:trHeight w:val="300"/>
          <w:jc w:val="center"/>
        </w:trPr>
        <w:tc>
          <w:tcPr>
            <w:tcW w:w="1047" w:type="dxa"/>
            <w:tcBorders>
              <w:bottom w:val="single" w:sz="4" w:space="0" w:color="000000"/>
            </w:tcBorders>
            <w:shd w:val="clear" w:color="auto" w:fill="auto"/>
            <w:vAlign w:val="bottom"/>
          </w:tcPr>
          <w:p w:rsidR="00227659" w:rsidRDefault="00227659" w:rsidP="0006469F">
            <w:pPr>
              <w:snapToGrid w:val="0"/>
              <w:spacing w:line="360" w:lineRule="auto"/>
              <w:jc w:val="center"/>
              <w:rPr>
                <w:rFonts w:ascii="Arial" w:hAnsi="Arial" w:cs="Arial"/>
                <w:color w:val="000000"/>
                <w:sz w:val="20"/>
                <w:szCs w:val="20"/>
                <w:lang w:val="es-MX"/>
              </w:rPr>
            </w:pPr>
          </w:p>
        </w:tc>
        <w:tc>
          <w:tcPr>
            <w:tcW w:w="1134"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851"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DE</w:t>
            </w:r>
          </w:p>
        </w:tc>
        <w:tc>
          <w:tcPr>
            <w:tcW w:w="1276"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1275"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i/>
                <w:color w:val="000000"/>
                <w:sz w:val="20"/>
                <w:szCs w:val="20"/>
                <w:lang w:val="es-MX"/>
              </w:rPr>
              <w:t>DE</w:t>
            </w:r>
          </w:p>
        </w:tc>
        <w:tc>
          <w:tcPr>
            <w:tcW w:w="1044" w:type="dxa"/>
            <w:vMerge/>
            <w:tcBorders>
              <w:bottom w:val="single" w:sz="4" w:space="0" w:color="000000"/>
            </w:tcBorders>
            <w:shd w:val="clear" w:color="auto" w:fill="auto"/>
            <w:vAlign w:val="bottom"/>
          </w:tcPr>
          <w:p w:rsidR="00227659" w:rsidRDefault="00227659" w:rsidP="0006469F">
            <w:pPr>
              <w:snapToGrid w:val="0"/>
              <w:spacing w:line="360" w:lineRule="auto"/>
              <w:jc w:val="center"/>
              <w:rPr>
                <w:color w:val="000000"/>
                <w:sz w:val="20"/>
                <w:szCs w:val="20"/>
                <w:lang w:val="es-MX"/>
              </w:rPr>
            </w:pPr>
          </w:p>
        </w:tc>
      </w:tr>
      <w:tr w:rsidR="00227659" w:rsidTr="0006469F">
        <w:trPr>
          <w:trHeight w:val="300"/>
          <w:jc w:val="center"/>
        </w:trPr>
        <w:tc>
          <w:tcPr>
            <w:tcW w:w="1047" w:type="dxa"/>
            <w:tcBorders>
              <w:top w:val="single" w:sz="4" w:space="0" w:color="000000"/>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3 años</w:t>
            </w:r>
          </w:p>
        </w:tc>
        <w:tc>
          <w:tcPr>
            <w:tcW w:w="1134"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1.03</w:t>
            </w:r>
          </w:p>
        </w:tc>
        <w:tc>
          <w:tcPr>
            <w:tcW w:w="851"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0.93</w:t>
            </w:r>
          </w:p>
        </w:tc>
        <w:tc>
          <w:tcPr>
            <w:tcW w:w="1276"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1.69</w:t>
            </w:r>
          </w:p>
        </w:tc>
        <w:tc>
          <w:tcPr>
            <w:tcW w:w="1275"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1.89</w:t>
            </w:r>
          </w:p>
        </w:tc>
        <w:tc>
          <w:tcPr>
            <w:tcW w:w="1044"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1.85</w:t>
            </w:r>
          </w:p>
        </w:tc>
      </w:tr>
      <w:tr w:rsidR="00227659" w:rsidTr="0006469F">
        <w:trPr>
          <w:trHeight w:val="300"/>
          <w:jc w:val="center"/>
        </w:trPr>
        <w:tc>
          <w:tcPr>
            <w:tcW w:w="1047"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4 años</w:t>
            </w:r>
          </w:p>
        </w:tc>
        <w:tc>
          <w:tcPr>
            <w:tcW w:w="1134"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0.41</w:t>
            </w:r>
          </w:p>
        </w:tc>
        <w:tc>
          <w:tcPr>
            <w:tcW w:w="851"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0.68</w:t>
            </w:r>
          </w:p>
        </w:tc>
        <w:tc>
          <w:tcPr>
            <w:tcW w:w="1276"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2.24</w:t>
            </w:r>
          </w:p>
        </w:tc>
        <w:tc>
          <w:tcPr>
            <w:tcW w:w="12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1.77</w:t>
            </w:r>
          </w:p>
        </w:tc>
        <w:tc>
          <w:tcPr>
            <w:tcW w:w="1044"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5.89**</w:t>
            </w:r>
          </w:p>
        </w:tc>
      </w:tr>
      <w:tr w:rsidR="00227659" w:rsidTr="0006469F">
        <w:trPr>
          <w:trHeight w:val="300"/>
          <w:jc w:val="center"/>
        </w:trPr>
        <w:tc>
          <w:tcPr>
            <w:tcW w:w="1047" w:type="dxa"/>
            <w:tcBorders>
              <w:bottom w:val="single" w:sz="4" w:space="0" w:color="000000"/>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5 años</w:t>
            </w:r>
          </w:p>
        </w:tc>
        <w:tc>
          <w:tcPr>
            <w:tcW w:w="1134"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0.50</w:t>
            </w:r>
          </w:p>
        </w:tc>
        <w:tc>
          <w:tcPr>
            <w:tcW w:w="851"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0.76</w:t>
            </w:r>
          </w:p>
        </w:tc>
        <w:tc>
          <w:tcPr>
            <w:tcW w:w="1276"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2.56</w:t>
            </w:r>
          </w:p>
        </w:tc>
        <w:tc>
          <w:tcPr>
            <w:tcW w:w="1275"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2.64</w:t>
            </w:r>
          </w:p>
        </w:tc>
        <w:tc>
          <w:tcPr>
            <w:tcW w:w="1044" w:type="dxa"/>
            <w:tcBorders>
              <w:bottom w:val="single" w:sz="4" w:space="0" w:color="000000"/>
            </w:tcBorders>
            <w:shd w:val="clear" w:color="auto" w:fill="auto"/>
            <w:vAlign w:val="bottom"/>
          </w:tcPr>
          <w:p w:rsidR="00227659" w:rsidRDefault="00F235DD" w:rsidP="0006469F">
            <w:pPr>
              <w:spacing w:line="360" w:lineRule="auto"/>
              <w:jc w:val="center"/>
              <w:rPr>
                <w:sz w:val="18"/>
                <w:szCs w:val="18"/>
              </w:rPr>
            </w:pPr>
            <w:r>
              <w:rPr>
                <w:color w:val="000000"/>
                <w:sz w:val="20"/>
                <w:szCs w:val="20"/>
                <w:lang w:val="es-MX"/>
              </w:rPr>
              <w:t>5.88**</w:t>
            </w:r>
          </w:p>
        </w:tc>
      </w:tr>
    </w:tbl>
    <w:p w:rsidR="00632490" w:rsidRPr="00F21DCE" w:rsidRDefault="00632490" w:rsidP="00632490">
      <w:pPr>
        <w:spacing w:line="360" w:lineRule="auto"/>
        <w:ind w:left="1" w:firstLine="1275"/>
        <w:jc w:val="both"/>
        <w:rPr>
          <w:color w:val="000000"/>
          <w:sz w:val="18"/>
          <w:szCs w:val="18"/>
        </w:rPr>
      </w:pPr>
      <w:r w:rsidRPr="00F21DCE">
        <w:rPr>
          <w:i/>
          <w:color w:val="000000"/>
          <w:sz w:val="18"/>
          <w:szCs w:val="18"/>
        </w:rPr>
        <w:t>Nota</w:t>
      </w:r>
      <w:r>
        <w:rPr>
          <w:i/>
          <w:color w:val="000000"/>
          <w:sz w:val="18"/>
          <w:szCs w:val="18"/>
        </w:rPr>
        <w:t xml:space="preserve">. </w:t>
      </w:r>
      <w:r>
        <w:rPr>
          <w:color w:val="000000"/>
          <w:sz w:val="18"/>
          <w:szCs w:val="18"/>
        </w:rPr>
        <w:t>M, Media; DE, Desvío Estándar.</w:t>
      </w:r>
    </w:p>
    <w:p w:rsidR="00227659" w:rsidRDefault="00F235DD" w:rsidP="00632490">
      <w:pPr>
        <w:spacing w:line="360" w:lineRule="auto"/>
        <w:ind w:left="1276"/>
        <w:rPr>
          <w:color w:val="000000"/>
          <w:lang w:val="es-MX"/>
        </w:rPr>
      </w:pPr>
      <w:r w:rsidRPr="00632490">
        <w:rPr>
          <w:i/>
          <w:color w:val="000000"/>
          <w:sz w:val="18"/>
          <w:szCs w:val="18"/>
          <w:lang w:val="es-MX"/>
        </w:rPr>
        <w:t xml:space="preserve">** p </w:t>
      </w:r>
      <w:r>
        <w:rPr>
          <w:color w:val="000000"/>
          <w:sz w:val="18"/>
          <w:szCs w:val="18"/>
          <w:lang w:val="es-MX"/>
        </w:rPr>
        <w:t>&lt; .01</w:t>
      </w:r>
    </w:p>
    <w:p w:rsidR="00227659" w:rsidRDefault="00227659">
      <w:pPr>
        <w:spacing w:line="360" w:lineRule="auto"/>
        <w:rPr>
          <w:color w:val="000000"/>
          <w:lang w:val="es-MX"/>
        </w:rPr>
      </w:pPr>
    </w:p>
    <w:p w:rsidR="00227659" w:rsidRDefault="00F235DD">
      <w:pPr>
        <w:spacing w:line="480" w:lineRule="auto"/>
        <w:jc w:val="both"/>
        <w:rPr>
          <w:color w:val="000000"/>
          <w:lang w:val="es-MX"/>
        </w:rPr>
      </w:pPr>
      <w:r>
        <w:rPr>
          <w:color w:val="000000"/>
          <w:lang w:val="es-MX"/>
        </w:rPr>
        <w:t>Los resultados del análisis estadístico indican que, en la población estudiada, a los 3 años de edad, la cantidad de ocasiones en las que los niños emplean estrategias argumentativas no se diferencia significativamente de la cantidad de ocasiones en las que simplemente expresan un punto de vista opuesto en la disputa (</w:t>
      </w:r>
      <w:r>
        <w:rPr>
          <w:i/>
          <w:color w:val="000000"/>
          <w:lang w:val="es-MX"/>
        </w:rPr>
        <w:t>t</w:t>
      </w:r>
      <w:r>
        <w:rPr>
          <w:color w:val="000000"/>
          <w:vertAlign w:val="subscript"/>
          <w:lang w:val="es-MX"/>
        </w:rPr>
        <w:t xml:space="preserve"> (28)</w:t>
      </w:r>
      <w:r>
        <w:rPr>
          <w:color w:val="000000"/>
          <w:lang w:val="es-MX"/>
        </w:rPr>
        <w:t xml:space="preserve"> = 1.85, </w:t>
      </w:r>
      <w:r>
        <w:rPr>
          <w:i/>
          <w:color w:val="000000"/>
          <w:lang w:val="es-MX"/>
        </w:rPr>
        <w:t>SE</w:t>
      </w:r>
      <w:r>
        <w:rPr>
          <w:color w:val="000000"/>
          <w:lang w:val="es-MX"/>
        </w:rPr>
        <w:t xml:space="preserve"> = 0.36, </w:t>
      </w:r>
      <w:r>
        <w:rPr>
          <w:i/>
          <w:color w:val="000000"/>
          <w:lang w:val="es-MX"/>
        </w:rPr>
        <w:t>p</w:t>
      </w:r>
      <w:r>
        <w:rPr>
          <w:color w:val="000000"/>
          <w:lang w:val="es-MX"/>
        </w:rPr>
        <w:t xml:space="preserve"> = .07).  Sin embargo, a los 4 años de edad, la diferencia entre el uso de estrategias argumentativas y la mera expresión del punto de vista es significativa (</w:t>
      </w:r>
      <w:r>
        <w:rPr>
          <w:i/>
          <w:color w:val="000000"/>
          <w:lang w:val="es-MX"/>
        </w:rPr>
        <w:t>t</w:t>
      </w:r>
      <w:r>
        <w:rPr>
          <w:color w:val="000000"/>
          <w:vertAlign w:val="subscript"/>
          <w:lang w:val="es-MX"/>
        </w:rPr>
        <w:t>(28)</w:t>
      </w:r>
      <w:r>
        <w:rPr>
          <w:color w:val="000000"/>
          <w:lang w:val="es-MX"/>
        </w:rPr>
        <w:t xml:space="preserve"> = 5.89, </w:t>
      </w:r>
      <w:r>
        <w:rPr>
          <w:i/>
          <w:color w:val="000000"/>
          <w:lang w:val="es-MX"/>
        </w:rPr>
        <w:t>SE</w:t>
      </w:r>
      <w:r>
        <w:rPr>
          <w:color w:val="000000"/>
          <w:lang w:val="es-MX"/>
        </w:rPr>
        <w:t xml:space="preserve"> = 0.31, </w:t>
      </w:r>
      <w:r>
        <w:rPr>
          <w:i/>
          <w:color w:val="000000"/>
          <w:lang w:val="es-MX"/>
        </w:rPr>
        <w:t>p</w:t>
      </w:r>
      <w:r>
        <w:rPr>
          <w:color w:val="000000"/>
          <w:lang w:val="es-MX"/>
        </w:rPr>
        <w:t xml:space="preserve"> &lt; .001).  La diferencia es también significativa a los 5 años (</w:t>
      </w:r>
      <w:r>
        <w:rPr>
          <w:i/>
          <w:color w:val="000000"/>
          <w:lang w:val="es-MX"/>
        </w:rPr>
        <w:t>t</w:t>
      </w:r>
      <w:r>
        <w:rPr>
          <w:color w:val="000000"/>
          <w:vertAlign w:val="subscript"/>
          <w:lang w:val="es-MX"/>
        </w:rPr>
        <w:t>(61)</w:t>
      </w:r>
      <w:r>
        <w:rPr>
          <w:color w:val="000000"/>
          <w:lang w:val="es-MX"/>
        </w:rPr>
        <w:t xml:space="preserve"> = 5.88, </w:t>
      </w:r>
      <w:r>
        <w:rPr>
          <w:i/>
          <w:color w:val="000000"/>
          <w:lang w:val="es-MX"/>
        </w:rPr>
        <w:t>SE</w:t>
      </w:r>
      <w:r>
        <w:rPr>
          <w:color w:val="000000"/>
          <w:lang w:val="es-MX"/>
        </w:rPr>
        <w:t xml:space="preserve"> = 0.35, </w:t>
      </w:r>
      <w:r>
        <w:rPr>
          <w:i/>
          <w:color w:val="000000"/>
          <w:lang w:val="es-MX"/>
        </w:rPr>
        <w:t>p</w:t>
      </w:r>
      <w:r>
        <w:rPr>
          <w:color w:val="000000"/>
          <w:lang w:val="es-MX"/>
        </w:rPr>
        <w:t xml:space="preserve"> &lt; .001).  </w:t>
      </w:r>
    </w:p>
    <w:p w:rsidR="00227659" w:rsidRDefault="00F235DD">
      <w:pPr>
        <w:spacing w:line="480" w:lineRule="auto"/>
        <w:jc w:val="both"/>
        <w:rPr>
          <w:color w:val="000000"/>
          <w:lang w:val="es-MX"/>
        </w:rPr>
      </w:pPr>
      <w:r>
        <w:rPr>
          <w:color w:val="000000"/>
          <w:lang w:val="es-MX"/>
        </w:rPr>
        <w:tab/>
        <w:t xml:space="preserve">Con el objeto de identificar eventuales diferencias en la progresión en el uso de cada una de las estrategias, se llevó a cabo un análisis de varianza, según el modelo ANOVA de un factor fijo.  En la Tabla 4 pueden observarse los estadísticos descriptivos de las estrategias empleadas por los niños en cada edad, y el resultado del análisis de varianza.  </w:t>
      </w:r>
    </w:p>
    <w:p w:rsidR="00227659" w:rsidRDefault="00227659">
      <w:pPr>
        <w:spacing w:line="360" w:lineRule="auto"/>
        <w:jc w:val="both"/>
        <w:rPr>
          <w:color w:val="000000"/>
          <w:lang w:val="es-MX"/>
        </w:rPr>
      </w:pPr>
    </w:p>
    <w:p w:rsidR="00227659" w:rsidRDefault="00F235DD">
      <w:pPr>
        <w:spacing w:line="360" w:lineRule="auto"/>
        <w:ind w:firstLine="567"/>
        <w:jc w:val="both"/>
        <w:rPr>
          <w:color w:val="000000"/>
          <w:lang w:val="es-MX"/>
        </w:rPr>
      </w:pPr>
      <w:r>
        <w:rPr>
          <w:color w:val="000000"/>
          <w:lang w:val="es-MX"/>
        </w:rPr>
        <w:t>Tabla 4</w:t>
      </w:r>
    </w:p>
    <w:p w:rsidR="00227659" w:rsidRDefault="00F235DD">
      <w:pPr>
        <w:spacing w:line="360" w:lineRule="auto"/>
        <w:ind w:firstLine="567"/>
        <w:jc w:val="both"/>
        <w:rPr>
          <w:rFonts w:ascii="Arial" w:hAnsi="Arial" w:cs="Arial"/>
        </w:rPr>
      </w:pPr>
      <w:r>
        <w:rPr>
          <w:color w:val="000000"/>
          <w:lang w:val="es-MX"/>
        </w:rPr>
        <w:t xml:space="preserve"> </w:t>
      </w:r>
      <w:r>
        <w:rPr>
          <w:i/>
          <w:color w:val="000000"/>
          <w:lang w:val="es-MX"/>
        </w:rPr>
        <w:t>Tipo de Estrategia Argumentativa según la Edad de los Niños</w:t>
      </w:r>
    </w:p>
    <w:p w:rsidR="00227659" w:rsidRDefault="00227659">
      <w:pPr>
        <w:spacing w:line="360" w:lineRule="auto"/>
        <w:ind w:firstLine="708"/>
        <w:jc w:val="center"/>
        <w:rPr>
          <w:rFonts w:ascii="Arial" w:hAnsi="Arial" w:cs="Arial"/>
        </w:rPr>
      </w:pPr>
    </w:p>
    <w:tbl>
      <w:tblPr>
        <w:tblW w:w="0" w:type="auto"/>
        <w:jc w:val="center"/>
        <w:tblInd w:w="70" w:type="dxa"/>
        <w:tblLayout w:type="fixed"/>
        <w:tblCellMar>
          <w:left w:w="70" w:type="dxa"/>
          <w:right w:w="70" w:type="dxa"/>
        </w:tblCellMar>
        <w:tblLook w:val="0000"/>
      </w:tblPr>
      <w:tblGrid>
        <w:gridCol w:w="2865"/>
        <w:gridCol w:w="735"/>
        <w:gridCol w:w="660"/>
        <w:gridCol w:w="555"/>
        <w:gridCol w:w="720"/>
        <w:gridCol w:w="645"/>
        <w:gridCol w:w="675"/>
        <w:gridCol w:w="1093"/>
      </w:tblGrid>
      <w:tr w:rsidR="00227659" w:rsidTr="0006469F">
        <w:trPr>
          <w:trHeight w:val="300"/>
          <w:jc w:val="center"/>
        </w:trPr>
        <w:tc>
          <w:tcPr>
            <w:tcW w:w="2865" w:type="dxa"/>
            <w:tcBorders>
              <w:top w:val="single" w:sz="4" w:space="0" w:color="000000"/>
            </w:tcBorders>
            <w:shd w:val="clear" w:color="auto" w:fill="auto"/>
            <w:vAlign w:val="bottom"/>
          </w:tcPr>
          <w:p w:rsidR="00227659" w:rsidRDefault="0006469F" w:rsidP="0006469F">
            <w:pPr>
              <w:snapToGrid w:val="0"/>
              <w:spacing w:line="360" w:lineRule="auto"/>
              <w:jc w:val="center"/>
              <w:rPr>
                <w:sz w:val="20"/>
                <w:szCs w:val="20"/>
              </w:rPr>
            </w:pPr>
            <w:r>
              <w:rPr>
                <w:sz w:val="20"/>
                <w:szCs w:val="20"/>
              </w:rPr>
              <w:t>Estrategia a</w:t>
            </w:r>
            <w:r w:rsidR="00F56F21">
              <w:rPr>
                <w:sz w:val="20"/>
                <w:szCs w:val="20"/>
              </w:rPr>
              <w:t>rgumentativa</w:t>
            </w:r>
          </w:p>
        </w:tc>
        <w:tc>
          <w:tcPr>
            <w:tcW w:w="1395" w:type="dxa"/>
            <w:gridSpan w:val="2"/>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 años</w:t>
            </w:r>
          </w:p>
        </w:tc>
        <w:tc>
          <w:tcPr>
            <w:tcW w:w="1275" w:type="dxa"/>
            <w:gridSpan w:val="2"/>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 años</w:t>
            </w:r>
          </w:p>
        </w:tc>
        <w:tc>
          <w:tcPr>
            <w:tcW w:w="1320" w:type="dxa"/>
            <w:gridSpan w:val="2"/>
            <w:tcBorders>
              <w:top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color w:val="000000"/>
                <w:sz w:val="20"/>
                <w:szCs w:val="20"/>
                <w:lang w:val="es-MX"/>
              </w:rPr>
              <w:t>5 años</w:t>
            </w:r>
          </w:p>
        </w:tc>
        <w:tc>
          <w:tcPr>
            <w:tcW w:w="1093" w:type="dxa"/>
            <w:vMerge w:val="restart"/>
            <w:tcBorders>
              <w:top w:val="single" w:sz="4" w:space="0" w:color="000000"/>
            </w:tcBorders>
            <w:shd w:val="clear" w:color="auto" w:fill="auto"/>
            <w:vAlign w:val="center"/>
          </w:tcPr>
          <w:p w:rsidR="00227659" w:rsidRDefault="00F235DD" w:rsidP="0006469F">
            <w:pPr>
              <w:spacing w:line="360" w:lineRule="auto"/>
              <w:jc w:val="center"/>
              <w:rPr>
                <w:rFonts w:ascii="Arial" w:hAnsi="Arial" w:cs="Arial"/>
                <w:color w:val="000000"/>
                <w:sz w:val="20"/>
                <w:szCs w:val="20"/>
                <w:lang w:val="es-MX"/>
              </w:rPr>
            </w:pPr>
            <w:r>
              <w:rPr>
                <w:i/>
                <w:color w:val="000000"/>
                <w:sz w:val="20"/>
                <w:szCs w:val="20"/>
                <w:lang w:val="es-MX"/>
              </w:rPr>
              <w:t>F</w:t>
            </w:r>
            <w:r>
              <w:rPr>
                <w:color w:val="000000"/>
                <w:sz w:val="20"/>
                <w:szCs w:val="20"/>
                <w:vertAlign w:val="subscript"/>
                <w:lang w:val="es-MX"/>
              </w:rPr>
              <w:t>(2, 121)</w:t>
            </w:r>
          </w:p>
        </w:tc>
      </w:tr>
      <w:tr w:rsidR="00227659" w:rsidTr="0006469F">
        <w:trPr>
          <w:trHeight w:val="300"/>
          <w:jc w:val="center"/>
        </w:trPr>
        <w:tc>
          <w:tcPr>
            <w:tcW w:w="2865" w:type="dxa"/>
            <w:tcBorders>
              <w:bottom w:val="single" w:sz="4" w:space="0" w:color="000000"/>
            </w:tcBorders>
            <w:shd w:val="clear" w:color="auto" w:fill="auto"/>
            <w:vAlign w:val="bottom"/>
          </w:tcPr>
          <w:p w:rsidR="00227659" w:rsidRDefault="00227659" w:rsidP="0006469F">
            <w:pPr>
              <w:snapToGrid w:val="0"/>
              <w:spacing w:line="360" w:lineRule="auto"/>
              <w:jc w:val="center"/>
              <w:rPr>
                <w:rFonts w:ascii="Arial" w:hAnsi="Arial" w:cs="Arial"/>
                <w:color w:val="000000"/>
                <w:sz w:val="20"/>
                <w:szCs w:val="20"/>
                <w:lang w:val="es-MX"/>
              </w:rPr>
            </w:pPr>
          </w:p>
        </w:tc>
        <w:tc>
          <w:tcPr>
            <w:tcW w:w="735"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660"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DE</w:t>
            </w:r>
          </w:p>
        </w:tc>
        <w:tc>
          <w:tcPr>
            <w:tcW w:w="555"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720"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DE</w:t>
            </w:r>
          </w:p>
        </w:tc>
        <w:tc>
          <w:tcPr>
            <w:tcW w:w="645"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675"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i/>
                <w:color w:val="000000"/>
                <w:sz w:val="20"/>
                <w:szCs w:val="20"/>
                <w:lang w:val="es-MX"/>
              </w:rPr>
              <w:t>DE</w:t>
            </w:r>
          </w:p>
        </w:tc>
        <w:tc>
          <w:tcPr>
            <w:tcW w:w="1093" w:type="dxa"/>
            <w:vMerge/>
            <w:tcBorders>
              <w:bottom w:val="single" w:sz="4" w:space="0" w:color="000000"/>
            </w:tcBorders>
            <w:shd w:val="clear" w:color="auto" w:fill="auto"/>
            <w:vAlign w:val="bottom"/>
          </w:tcPr>
          <w:p w:rsidR="00227659" w:rsidRDefault="00227659">
            <w:pPr>
              <w:snapToGrid w:val="0"/>
              <w:spacing w:line="360" w:lineRule="auto"/>
              <w:rPr>
                <w:color w:val="000000"/>
                <w:sz w:val="20"/>
                <w:szCs w:val="20"/>
                <w:lang w:val="es-MX"/>
              </w:rPr>
            </w:pPr>
          </w:p>
        </w:tc>
      </w:tr>
      <w:tr w:rsidR="00227659" w:rsidTr="0006469F">
        <w:trPr>
          <w:trHeight w:val="300"/>
          <w:jc w:val="center"/>
        </w:trPr>
        <w:tc>
          <w:tcPr>
            <w:tcW w:w="2865" w:type="dxa"/>
            <w:tcBorders>
              <w:top w:val="single" w:sz="4" w:space="0" w:color="000000"/>
            </w:tcBorders>
            <w:shd w:val="clear" w:color="auto" w:fill="auto"/>
            <w:vAlign w:val="bottom"/>
          </w:tcPr>
          <w:p w:rsidR="00227659" w:rsidRDefault="00F235DD" w:rsidP="00F039EB">
            <w:pPr>
              <w:tabs>
                <w:tab w:val="left" w:pos="2505"/>
              </w:tabs>
              <w:spacing w:line="360" w:lineRule="auto"/>
              <w:rPr>
                <w:color w:val="000000"/>
                <w:sz w:val="20"/>
                <w:szCs w:val="20"/>
                <w:lang w:val="es-MX"/>
              </w:rPr>
            </w:pPr>
            <w:r>
              <w:rPr>
                <w:color w:val="000000"/>
                <w:sz w:val="20"/>
                <w:szCs w:val="20"/>
                <w:lang w:val="es-MX"/>
              </w:rPr>
              <w:t>Reiteración 1</w:t>
            </w:r>
          </w:p>
        </w:tc>
        <w:tc>
          <w:tcPr>
            <w:tcW w:w="735"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.38</w:t>
            </w:r>
          </w:p>
        </w:tc>
        <w:tc>
          <w:tcPr>
            <w:tcW w:w="660"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.91</w:t>
            </w:r>
          </w:p>
        </w:tc>
        <w:tc>
          <w:tcPr>
            <w:tcW w:w="555"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.38</w:t>
            </w:r>
          </w:p>
        </w:tc>
        <w:tc>
          <w:tcPr>
            <w:tcW w:w="720"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.62</w:t>
            </w:r>
          </w:p>
        </w:tc>
        <w:tc>
          <w:tcPr>
            <w:tcW w:w="645"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.44</w:t>
            </w:r>
          </w:p>
        </w:tc>
        <w:tc>
          <w:tcPr>
            <w:tcW w:w="675"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.74</w:t>
            </w:r>
          </w:p>
        </w:tc>
        <w:tc>
          <w:tcPr>
            <w:tcW w:w="1093"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.12</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Reiteración 2</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.19</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.40</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.28</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.65</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.35</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.77</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.64</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Anticipación</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.06</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.25</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.10</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.56</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.22</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.55</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1.30</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Narración</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.06</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.25</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.31</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.85</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.11</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.32</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2.31</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lastRenderedPageBreak/>
              <w:t>Descripción</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.47</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.72</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.83</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.80</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.84</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1.14</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1.70</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Generalización</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.13</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.42</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.14</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.35</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.13</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.38</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.01</w:t>
            </w:r>
          </w:p>
        </w:tc>
      </w:tr>
      <w:tr w:rsidR="00227659" w:rsidTr="0006469F">
        <w:trPr>
          <w:trHeight w:val="300"/>
          <w:jc w:val="center"/>
        </w:trPr>
        <w:tc>
          <w:tcPr>
            <w:tcW w:w="2865" w:type="dxa"/>
            <w:shd w:val="clear" w:color="auto" w:fill="auto"/>
            <w:vAlign w:val="bottom"/>
          </w:tcPr>
          <w:p w:rsidR="00227659" w:rsidRDefault="0006469F" w:rsidP="00F039EB">
            <w:pPr>
              <w:spacing w:line="360" w:lineRule="auto"/>
              <w:rPr>
                <w:color w:val="000000"/>
                <w:sz w:val="20"/>
                <w:szCs w:val="20"/>
                <w:lang w:val="es-MX"/>
              </w:rPr>
            </w:pPr>
            <w:r>
              <w:rPr>
                <w:color w:val="000000"/>
                <w:sz w:val="20"/>
                <w:szCs w:val="20"/>
                <w:lang w:val="es-MX"/>
              </w:rPr>
              <w:t>Apelación a la a</w:t>
            </w:r>
            <w:r w:rsidR="00F235DD">
              <w:rPr>
                <w:color w:val="000000"/>
                <w:sz w:val="20"/>
                <w:szCs w:val="20"/>
                <w:lang w:val="es-MX"/>
              </w:rPr>
              <w:t>utoridad</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.06</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.25</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.07</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.37</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.16</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.48</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.81</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Cortesía</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.13</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.34</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.10</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.56</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.19</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.60</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.35</w:t>
            </w:r>
          </w:p>
        </w:tc>
      </w:tr>
      <w:tr w:rsidR="00227659" w:rsidTr="0006469F">
        <w:trPr>
          <w:trHeight w:val="300"/>
          <w:jc w:val="center"/>
        </w:trPr>
        <w:tc>
          <w:tcPr>
            <w:tcW w:w="2865" w:type="dxa"/>
            <w:tcBorders>
              <w:bottom w:val="single" w:sz="4" w:space="0" w:color="000000"/>
            </w:tcBorders>
            <w:shd w:val="clear" w:color="auto" w:fill="auto"/>
            <w:vAlign w:val="bottom"/>
          </w:tcPr>
          <w:p w:rsidR="00227659" w:rsidRDefault="0006469F" w:rsidP="00F039EB">
            <w:pPr>
              <w:spacing w:line="360" w:lineRule="auto"/>
              <w:rPr>
                <w:color w:val="000000"/>
                <w:sz w:val="20"/>
                <w:szCs w:val="20"/>
                <w:lang w:val="es-MX"/>
              </w:rPr>
            </w:pPr>
            <w:r>
              <w:rPr>
                <w:color w:val="000000"/>
                <w:sz w:val="20"/>
                <w:szCs w:val="20"/>
                <w:lang w:val="es-MX"/>
              </w:rPr>
              <w:t>Propuesta a</w:t>
            </w:r>
            <w:r w:rsidR="00F235DD">
              <w:rPr>
                <w:color w:val="000000"/>
                <w:sz w:val="20"/>
                <w:szCs w:val="20"/>
                <w:lang w:val="es-MX"/>
              </w:rPr>
              <w:t>lternativa</w:t>
            </w:r>
          </w:p>
        </w:tc>
        <w:tc>
          <w:tcPr>
            <w:tcW w:w="735"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.22</w:t>
            </w:r>
          </w:p>
        </w:tc>
        <w:tc>
          <w:tcPr>
            <w:tcW w:w="660"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.61</w:t>
            </w:r>
          </w:p>
        </w:tc>
        <w:tc>
          <w:tcPr>
            <w:tcW w:w="555"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.03</w:t>
            </w:r>
          </w:p>
        </w:tc>
        <w:tc>
          <w:tcPr>
            <w:tcW w:w="720"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.19</w:t>
            </w:r>
          </w:p>
        </w:tc>
        <w:tc>
          <w:tcPr>
            <w:tcW w:w="645"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.14</w:t>
            </w:r>
          </w:p>
        </w:tc>
        <w:tc>
          <w:tcPr>
            <w:tcW w:w="675"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.40</w:t>
            </w:r>
          </w:p>
        </w:tc>
        <w:tc>
          <w:tcPr>
            <w:tcW w:w="1093" w:type="dxa"/>
            <w:tcBorders>
              <w:bottom w:val="single" w:sz="4" w:space="0" w:color="000000"/>
            </w:tcBorders>
            <w:shd w:val="clear" w:color="auto" w:fill="auto"/>
            <w:vAlign w:val="bottom"/>
          </w:tcPr>
          <w:p w:rsidR="00227659" w:rsidRDefault="00F235DD" w:rsidP="0006469F">
            <w:pPr>
              <w:spacing w:line="360" w:lineRule="auto"/>
              <w:jc w:val="center"/>
            </w:pPr>
            <w:r>
              <w:rPr>
                <w:color w:val="000000"/>
                <w:sz w:val="20"/>
                <w:szCs w:val="20"/>
                <w:lang w:val="es-MX"/>
              </w:rPr>
              <w:t>1.42</w:t>
            </w:r>
          </w:p>
        </w:tc>
      </w:tr>
    </w:tbl>
    <w:p w:rsidR="00632490" w:rsidRPr="00F21DCE" w:rsidRDefault="00632490" w:rsidP="00632490">
      <w:pPr>
        <w:spacing w:line="360" w:lineRule="auto"/>
        <w:ind w:left="567"/>
        <w:jc w:val="both"/>
        <w:rPr>
          <w:color w:val="000000"/>
          <w:sz w:val="18"/>
          <w:szCs w:val="18"/>
        </w:rPr>
      </w:pPr>
      <w:r w:rsidRPr="00F21DCE">
        <w:rPr>
          <w:i/>
          <w:color w:val="000000"/>
          <w:sz w:val="18"/>
          <w:szCs w:val="18"/>
        </w:rPr>
        <w:t>Nota</w:t>
      </w:r>
      <w:r>
        <w:rPr>
          <w:i/>
          <w:color w:val="000000"/>
          <w:sz w:val="18"/>
          <w:szCs w:val="18"/>
        </w:rPr>
        <w:t xml:space="preserve">. </w:t>
      </w:r>
      <w:r>
        <w:rPr>
          <w:color w:val="000000"/>
          <w:sz w:val="18"/>
          <w:szCs w:val="18"/>
        </w:rPr>
        <w:t>M, Media; DE, Desvío Estándar.</w:t>
      </w:r>
    </w:p>
    <w:p w:rsidR="00227659" w:rsidRDefault="00227659">
      <w:pPr>
        <w:spacing w:line="360" w:lineRule="auto"/>
        <w:jc w:val="center"/>
      </w:pPr>
    </w:p>
    <w:p w:rsidR="00227659" w:rsidRDefault="00F235DD">
      <w:pPr>
        <w:spacing w:line="480" w:lineRule="auto"/>
        <w:ind w:firstLine="708"/>
        <w:jc w:val="both"/>
        <w:rPr>
          <w:color w:val="000000"/>
          <w:lang w:val="es-MX"/>
        </w:rPr>
      </w:pPr>
      <w:r>
        <w:rPr>
          <w:color w:val="000000"/>
          <w:lang w:val="es-MX"/>
        </w:rPr>
        <w:t xml:space="preserve">Como se observa en la Tabla 4, entre las distintas edades se pone de manifiesto una cierta progresión en el uso de la mayor parte de las estrategias, pero en ninguno de los casos las diferencias son significativas en términos estadísticos.  </w:t>
      </w:r>
    </w:p>
    <w:p w:rsidR="00227659" w:rsidRDefault="00F235DD">
      <w:pPr>
        <w:spacing w:line="480" w:lineRule="auto"/>
        <w:jc w:val="both"/>
        <w:rPr>
          <w:color w:val="000000"/>
          <w:lang w:val="es-MX"/>
        </w:rPr>
      </w:pPr>
      <w:r>
        <w:rPr>
          <w:color w:val="000000"/>
          <w:lang w:val="es-MX"/>
        </w:rPr>
        <w:tab/>
        <w:t xml:space="preserve">Posteriormente, las diferencias entre la mera expresión del punto de vista y el empleo de estrategias argumentativas se analizaron teniendo en cuenta el tipo de juego -dramático, de construcciones y de mesa.  Este análisis, que se llevó a cabo por medio del estadístico </w:t>
      </w:r>
      <w:r>
        <w:rPr>
          <w:i/>
          <w:color w:val="000000"/>
          <w:lang w:val="es-MX"/>
        </w:rPr>
        <w:t>t</w:t>
      </w:r>
      <w:r>
        <w:rPr>
          <w:color w:val="000000"/>
          <w:lang w:val="es-MX"/>
        </w:rPr>
        <w:t xml:space="preserve"> de Student, se presenta en la Tabla 5, junto con los estadísticos descriptivos.  </w:t>
      </w:r>
    </w:p>
    <w:p w:rsidR="00227659" w:rsidRDefault="00227659">
      <w:pPr>
        <w:spacing w:line="360" w:lineRule="auto"/>
        <w:rPr>
          <w:color w:val="000000"/>
          <w:lang w:val="es-MX"/>
        </w:rPr>
      </w:pPr>
    </w:p>
    <w:p w:rsidR="00227659" w:rsidRDefault="00F235DD" w:rsidP="0006469F">
      <w:pPr>
        <w:spacing w:line="360" w:lineRule="auto"/>
        <w:ind w:firstLine="709"/>
        <w:rPr>
          <w:i/>
          <w:color w:val="000000"/>
          <w:lang w:val="es-MX"/>
        </w:rPr>
      </w:pPr>
      <w:r>
        <w:rPr>
          <w:color w:val="000000"/>
          <w:lang w:val="es-MX"/>
        </w:rPr>
        <w:t>Tabla 5</w:t>
      </w:r>
    </w:p>
    <w:p w:rsidR="00227659" w:rsidRDefault="00F235DD" w:rsidP="0006469F">
      <w:pPr>
        <w:spacing w:line="360" w:lineRule="auto"/>
        <w:ind w:left="709" w:right="1132"/>
        <w:rPr>
          <w:rFonts w:ascii="Arial" w:hAnsi="Arial" w:cs="Arial"/>
          <w:color w:val="000000"/>
          <w:lang w:val="es-MX"/>
        </w:rPr>
      </w:pPr>
      <w:r>
        <w:rPr>
          <w:i/>
          <w:color w:val="000000"/>
          <w:lang w:val="es-MX"/>
        </w:rPr>
        <w:t>Mera Expresión del Punto de Vista y Empleo de Estrategias Argumentativas en Cada Tipo de Juego.</w:t>
      </w:r>
    </w:p>
    <w:p w:rsidR="00227659" w:rsidRDefault="00227659">
      <w:pPr>
        <w:spacing w:line="360" w:lineRule="auto"/>
        <w:rPr>
          <w:rFonts w:ascii="Arial" w:hAnsi="Arial" w:cs="Arial"/>
          <w:color w:val="000000"/>
          <w:lang w:val="es-MX"/>
        </w:rPr>
      </w:pPr>
    </w:p>
    <w:tbl>
      <w:tblPr>
        <w:tblW w:w="0" w:type="auto"/>
        <w:jc w:val="center"/>
        <w:tblInd w:w="-158" w:type="dxa"/>
        <w:tblLayout w:type="fixed"/>
        <w:tblCellMar>
          <w:left w:w="70" w:type="dxa"/>
          <w:right w:w="70" w:type="dxa"/>
        </w:tblCellMar>
        <w:tblLook w:val="0000"/>
      </w:tblPr>
      <w:tblGrid>
        <w:gridCol w:w="2012"/>
        <w:gridCol w:w="964"/>
        <w:gridCol w:w="999"/>
        <w:gridCol w:w="1276"/>
        <w:gridCol w:w="1276"/>
        <w:gridCol w:w="1137"/>
      </w:tblGrid>
      <w:tr w:rsidR="00227659" w:rsidTr="00F039EB">
        <w:trPr>
          <w:trHeight w:val="300"/>
          <w:jc w:val="center"/>
        </w:trPr>
        <w:tc>
          <w:tcPr>
            <w:tcW w:w="2012" w:type="dxa"/>
            <w:tcBorders>
              <w:top w:val="single" w:sz="4" w:space="0" w:color="000000"/>
            </w:tcBorders>
            <w:shd w:val="clear" w:color="auto" w:fill="auto"/>
            <w:vAlign w:val="bottom"/>
          </w:tcPr>
          <w:p w:rsidR="00227659" w:rsidRDefault="00F56F21" w:rsidP="0006469F">
            <w:pPr>
              <w:snapToGrid w:val="0"/>
              <w:spacing w:line="360" w:lineRule="auto"/>
              <w:jc w:val="center"/>
              <w:rPr>
                <w:color w:val="000000"/>
                <w:sz w:val="20"/>
                <w:szCs w:val="20"/>
                <w:lang w:val="es-MX"/>
              </w:rPr>
            </w:pPr>
            <w:r>
              <w:rPr>
                <w:color w:val="000000"/>
                <w:sz w:val="20"/>
                <w:szCs w:val="20"/>
                <w:lang w:val="es-MX"/>
              </w:rPr>
              <w:t>Tipo de juego</w:t>
            </w:r>
          </w:p>
        </w:tc>
        <w:tc>
          <w:tcPr>
            <w:tcW w:w="1963" w:type="dxa"/>
            <w:gridSpan w:val="2"/>
            <w:tcBorders>
              <w:top w:val="single" w:sz="4" w:space="0" w:color="000000"/>
            </w:tcBorders>
            <w:shd w:val="clear" w:color="auto" w:fill="auto"/>
            <w:vAlign w:val="bottom"/>
          </w:tcPr>
          <w:p w:rsidR="00227659" w:rsidRDefault="0006469F" w:rsidP="0006469F">
            <w:pPr>
              <w:spacing w:line="360" w:lineRule="auto"/>
              <w:jc w:val="center"/>
              <w:rPr>
                <w:color w:val="000000"/>
                <w:sz w:val="20"/>
                <w:szCs w:val="20"/>
                <w:lang w:val="es-MX"/>
              </w:rPr>
            </w:pPr>
            <w:r>
              <w:rPr>
                <w:color w:val="000000"/>
                <w:sz w:val="20"/>
                <w:szCs w:val="20"/>
                <w:lang w:val="es-MX"/>
              </w:rPr>
              <w:t>Punto de v</w:t>
            </w:r>
            <w:r w:rsidR="00F235DD">
              <w:rPr>
                <w:color w:val="000000"/>
                <w:sz w:val="20"/>
                <w:szCs w:val="20"/>
                <w:lang w:val="es-MX"/>
              </w:rPr>
              <w:t>ista</w:t>
            </w:r>
          </w:p>
        </w:tc>
        <w:tc>
          <w:tcPr>
            <w:tcW w:w="2552" w:type="dxa"/>
            <w:gridSpan w:val="2"/>
            <w:tcBorders>
              <w:top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color w:val="000000"/>
                <w:sz w:val="20"/>
                <w:szCs w:val="20"/>
                <w:lang w:val="es-MX"/>
              </w:rPr>
              <w:t>Estrategias</w:t>
            </w:r>
            <w:r w:rsidR="0006469F">
              <w:rPr>
                <w:color w:val="000000"/>
                <w:sz w:val="20"/>
                <w:szCs w:val="20"/>
                <w:lang w:val="es-MX"/>
              </w:rPr>
              <w:t xml:space="preserve"> argumentativas</w:t>
            </w:r>
          </w:p>
        </w:tc>
        <w:tc>
          <w:tcPr>
            <w:tcW w:w="1137" w:type="dxa"/>
            <w:vMerge w:val="restart"/>
            <w:tcBorders>
              <w:top w:val="single" w:sz="4" w:space="0" w:color="000000"/>
            </w:tcBorders>
            <w:shd w:val="clear" w:color="auto" w:fill="auto"/>
            <w:vAlign w:val="center"/>
          </w:tcPr>
          <w:p w:rsidR="00227659" w:rsidRDefault="00F235DD" w:rsidP="0006469F">
            <w:pPr>
              <w:spacing w:line="360" w:lineRule="auto"/>
              <w:jc w:val="center"/>
              <w:rPr>
                <w:color w:val="000000"/>
                <w:sz w:val="20"/>
                <w:szCs w:val="20"/>
                <w:lang w:val="es-MX"/>
              </w:rPr>
            </w:pPr>
            <w:r>
              <w:rPr>
                <w:i/>
                <w:color w:val="000000"/>
                <w:sz w:val="20"/>
                <w:szCs w:val="20"/>
                <w:lang w:val="es-MX"/>
              </w:rPr>
              <w:t>T</w:t>
            </w:r>
          </w:p>
        </w:tc>
      </w:tr>
      <w:tr w:rsidR="00227659" w:rsidTr="00F039EB">
        <w:trPr>
          <w:trHeight w:val="300"/>
          <w:jc w:val="center"/>
        </w:trPr>
        <w:tc>
          <w:tcPr>
            <w:tcW w:w="2012" w:type="dxa"/>
            <w:tcBorders>
              <w:bottom w:val="single" w:sz="4" w:space="0" w:color="000000"/>
            </w:tcBorders>
            <w:shd w:val="clear" w:color="auto" w:fill="auto"/>
            <w:vAlign w:val="bottom"/>
          </w:tcPr>
          <w:p w:rsidR="00227659" w:rsidRDefault="00227659" w:rsidP="0006469F">
            <w:pPr>
              <w:snapToGrid w:val="0"/>
              <w:spacing w:line="360" w:lineRule="auto"/>
              <w:jc w:val="center"/>
              <w:rPr>
                <w:color w:val="000000"/>
                <w:sz w:val="20"/>
                <w:szCs w:val="20"/>
                <w:lang w:val="es-MX"/>
              </w:rPr>
            </w:pPr>
          </w:p>
        </w:tc>
        <w:tc>
          <w:tcPr>
            <w:tcW w:w="964"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999"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DE</w:t>
            </w:r>
          </w:p>
        </w:tc>
        <w:tc>
          <w:tcPr>
            <w:tcW w:w="1276"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1276"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i/>
                <w:color w:val="000000"/>
                <w:sz w:val="20"/>
                <w:szCs w:val="20"/>
                <w:lang w:val="es-MX"/>
              </w:rPr>
              <w:t>DE</w:t>
            </w:r>
          </w:p>
        </w:tc>
        <w:tc>
          <w:tcPr>
            <w:tcW w:w="1137" w:type="dxa"/>
            <w:vMerge/>
            <w:tcBorders>
              <w:bottom w:val="single" w:sz="4" w:space="0" w:color="000000"/>
            </w:tcBorders>
            <w:shd w:val="clear" w:color="auto" w:fill="auto"/>
            <w:vAlign w:val="bottom"/>
          </w:tcPr>
          <w:p w:rsidR="00227659" w:rsidRDefault="00227659" w:rsidP="0006469F">
            <w:pPr>
              <w:snapToGrid w:val="0"/>
              <w:spacing w:line="360" w:lineRule="auto"/>
              <w:jc w:val="center"/>
              <w:rPr>
                <w:color w:val="000000"/>
                <w:sz w:val="20"/>
                <w:szCs w:val="20"/>
                <w:lang w:val="es-MX"/>
              </w:rPr>
            </w:pPr>
          </w:p>
        </w:tc>
      </w:tr>
      <w:tr w:rsidR="00227659" w:rsidTr="00F039EB">
        <w:trPr>
          <w:trHeight w:val="300"/>
          <w:jc w:val="center"/>
        </w:trPr>
        <w:tc>
          <w:tcPr>
            <w:tcW w:w="2012" w:type="dxa"/>
            <w:tcBorders>
              <w:top w:val="single" w:sz="4" w:space="0" w:color="000000"/>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dramático</w:t>
            </w:r>
          </w:p>
        </w:tc>
        <w:tc>
          <w:tcPr>
            <w:tcW w:w="964"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0.50</w:t>
            </w:r>
          </w:p>
        </w:tc>
        <w:tc>
          <w:tcPr>
            <w:tcW w:w="999"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0.79</w:t>
            </w:r>
          </w:p>
        </w:tc>
        <w:tc>
          <w:tcPr>
            <w:tcW w:w="1276"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2.34</w:t>
            </w:r>
          </w:p>
        </w:tc>
        <w:tc>
          <w:tcPr>
            <w:tcW w:w="1276"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2.25</w:t>
            </w:r>
          </w:p>
        </w:tc>
        <w:tc>
          <w:tcPr>
            <w:tcW w:w="1137"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4.53**</w:t>
            </w:r>
          </w:p>
        </w:tc>
      </w:tr>
      <w:tr w:rsidR="00227659" w:rsidTr="00F039EB">
        <w:trPr>
          <w:trHeight w:val="425"/>
          <w:jc w:val="center"/>
        </w:trPr>
        <w:tc>
          <w:tcPr>
            <w:tcW w:w="2012" w:type="dxa"/>
            <w:shd w:val="clear" w:color="auto" w:fill="auto"/>
            <w:vAlign w:val="bottom"/>
          </w:tcPr>
          <w:p w:rsidR="00227659" w:rsidRDefault="00F235DD" w:rsidP="00F039EB">
            <w:pPr>
              <w:spacing w:line="200" w:lineRule="atLeast"/>
              <w:ind w:left="5" w:right="-130"/>
              <w:rPr>
                <w:color w:val="000000"/>
                <w:sz w:val="20"/>
                <w:szCs w:val="20"/>
                <w:lang w:val="es-MX"/>
              </w:rPr>
            </w:pPr>
            <w:r>
              <w:rPr>
                <w:color w:val="000000"/>
                <w:sz w:val="20"/>
                <w:szCs w:val="20"/>
                <w:lang w:val="es-MX"/>
              </w:rPr>
              <w:t>Juego de construcción</w:t>
            </w:r>
          </w:p>
        </w:tc>
        <w:tc>
          <w:tcPr>
            <w:tcW w:w="964" w:type="dxa"/>
            <w:shd w:val="clear" w:color="auto" w:fill="auto"/>
            <w:vAlign w:val="bottom"/>
          </w:tcPr>
          <w:p w:rsidR="00227659" w:rsidRDefault="00F235DD" w:rsidP="0006469F">
            <w:pPr>
              <w:spacing w:line="200" w:lineRule="atLeast"/>
              <w:jc w:val="center"/>
              <w:rPr>
                <w:color w:val="000000"/>
                <w:sz w:val="20"/>
                <w:szCs w:val="20"/>
                <w:lang w:val="es-MX"/>
              </w:rPr>
            </w:pPr>
            <w:r>
              <w:rPr>
                <w:color w:val="000000"/>
                <w:sz w:val="20"/>
                <w:szCs w:val="20"/>
                <w:lang w:val="es-MX"/>
              </w:rPr>
              <w:t>0.76</w:t>
            </w:r>
          </w:p>
        </w:tc>
        <w:tc>
          <w:tcPr>
            <w:tcW w:w="999" w:type="dxa"/>
            <w:shd w:val="clear" w:color="auto" w:fill="auto"/>
            <w:vAlign w:val="bottom"/>
          </w:tcPr>
          <w:p w:rsidR="00227659" w:rsidRDefault="00F235DD" w:rsidP="0006469F">
            <w:pPr>
              <w:spacing w:line="200" w:lineRule="atLeast"/>
              <w:jc w:val="center"/>
              <w:rPr>
                <w:color w:val="000000"/>
                <w:sz w:val="20"/>
                <w:szCs w:val="20"/>
                <w:lang w:val="es-MX"/>
              </w:rPr>
            </w:pPr>
            <w:r>
              <w:rPr>
                <w:color w:val="000000"/>
                <w:sz w:val="20"/>
                <w:szCs w:val="20"/>
                <w:lang w:val="es-MX"/>
              </w:rPr>
              <w:t>0.83</w:t>
            </w:r>
          </w:p>
        </w:tc>
        <w:tc>
          <w:tcPr>
            <w:tcW w:w="1276" w:type="dxa"/>
            <w:shd w:val="clear" w:color="auto" w:fill="auto"/>
            <w:vAlign w:val="bottom"/>
          </w:tcPr>
          <w:p w:rsidR="00227659" w:rsidRDefault="00F235DD" w:rsidP="0006469F">
            <w:pPr>
              <w:spacing w:line="200" w:lineRule="atLeast"/>
              <w:jc w:val="center"/>
              <w:rPr>
                <w:color w:val="000000"/>
                <w:sz w:val="20"/>
                <w:szCs w:val="20"/>
                <w:lang w:val="es-MX"/>
              </w:rPr>
            </w:pPr>
            <w:r>
              <w:rPr>
                <w:color w:val="000000"/>
                <w:sz w:val="20"/>
                <w:szCs w:val="20"/>
                <w:lang w:val="es-MX"/>
              </w:rPr>
              <w:t>2.42</w:t>
            </w:r>
          </w:p>
        </w:tc>
        <w:tc>
          <w:tcPr>
            <w:tcW w:w="1276" w:type="dxa"/>
            <w:shd w:val="clear" w:color="auto" w:fill="auto"/>
            <w:vAlign w:val="bottom"/>
          </w:tcPr>
          <w:p w:rsidR="00227659" w:rsidRDefault="00F235DD" w:rsidP="0006469F">
            <w:pPr>
              <w:spacing w:line="200" w:lineRule="atLeast"/>
              <w:jc w:val="center"/>
              <w:rPr>
                <w:color w:val="000000"/>
                <w:sz w:val="20"/>
                <w:szCs w:val="20"/>
                <w:lang w:val="es-MX"/>
              </w:rPr>
            </w:pPr>
            <w:r>
              <w:rPr>
                <w:color w:val="000000"/>
                <w:sz w:val="20"/>
                <w:szCs w:val="20"/>
                <w:lang w:val="es-MX"/>
              </w:rPr>
              <w:t>2.82</w:t>
            </w:r>
          </w:p>
        </w:tc>
        <w:tc>
          <w:tcPr>
            <w:tcW w:w="1137" w:type="dxa"/>
            <w:shd w:val="clear" w:color="auto" w:fill="auto"/>
            <w:vAlign w:val="bottom"/>
          </w:tcPr>
          <w:p w:rsidR="00227659" w:rsidRDefault="00F235DD" w:rsidP="0006469F">
            <w:pPr>
              <w:spacing w:line="200" w:lineRule="atLeast"/>
              <w:jc w:val="center"/>
              <w:rPr>
                <w:color w:val="000000"/>
                <w:sz w:val="20"/>
                <w:szCs w:val="20"/>
                <w:lang w:val="es-MX"/>
              </w:rPr>
            </w:pPr>
            <w:r>
              <w:rPr>
                <w:color w:val="000000"/>
                <w:sz w:val="20"/>
                <w:szCs w:val="20"/>
                <w:lang w:val="es-MX"/>
              </w:rPr>
              <w:t>4.10**</w:t>
            </w:r>
          </w:p>
        </w:tc>
      </w:tr>
      <w:tr w:rsidR="00227659" w:rsidTr="00F039EB">
        <w:trPr>
          <w:trHeight w:val="557"/>
          <w:jc w:val="center"/>
        </w:trPr>
        <w:tc>
          <w:tcPr>
            <w:tcW w:w="2012" w:type="dxa"/>
            <w:tcBorders>
              <w:bottom w:val="single" w:sz="4" w:space="0" w:color="000000"/>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de mesa</w:t>
            </w:r>
          </w:p>
        </w:tc>
        <w:tc>
          <w:tcPr>
            <w:tcW w:w="964"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0.59</w:t>
            </w:r>
          </w:p>
        </w:tc>
        <w:tc>
          <w:tcPr>
            <w:tcW w:w="999"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0.86</w:t>
            </w:r>
          </w:p>
        </w:tc>
        <w:tc>
          <w:tcPr>
            <w:tcW w:w="1276"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1.94</w:t>
            </w:r>
          </w:p>
        </w:tc>
        <w:tc>
          <w:tcPr>
            <w:tcW w:w="1276"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1.93</w:t>
            </w:r>
          </w:p>
        </w:tc>
        <w:tc>
          <w:tcPr>
            <w:tcW w:w="1137" w:type="dxa"/>
            <w:tcBorders>
              <w:bottom w:val="single" w:sz="4" w:space="0" w:color="000000"/>
            </w:tcBorders>
            <w:shd w:val="clear" w:color="auto" w:fill="auto"/>
            <w:vAlign w:val="bottom"/>
          </w:tcPr>
          <w:p w:rsidR="00227659" w:rsidRDefault="00F235DD" w:rsidP="0006469F">
            <w:pPr>
              <w:spacing w:line="360" w:lineRule="auto"/>
              <w:jc w:val="center"/>
              <w:rPr>
                <w:color w:val="000000"/>
                <w:sz w:val="18"/>
                <w:szCs w:val="18"/>
                <w:lang w:val="es-MX"/>
              </w:rPr>
            </w:pPr>
            <w:r>
              <w:rPr>
                <w:color w:val="000000"/>
                <w:sz w:val="20"/>
                <w:szCs w:val="20"/>
                <w:lang w:val="es-MX"/>
              </w:rPr>
              <w:t>5.51**</w:t>
            </w:r>
          </w:p>
        </w:tc>
      </w:tr>
    </w:tbl>
    <w:p w:rsidR="00632490" w:rsidRPr="00F21DCE" w:rsidRDefault="00632490" w:rsidP="00632490">
      <w:pPr>
        <w:spacing w:line="360" w:lineRule="auto"/>
        <w:ind w:firstLine="709"/>
        <w:jc w:val="both"/>
        <w:rPr>
          <w:color w:val="000000"/>
          <w:sz w:val="18"/>
          <w:szCs w:val="18"/>
        </w:rPr>
      </w:pPr>
      <w:r w:rsidRPr="00F21DCE">
        <w:rPr>
          <w:i/>
          <w:color w:val="000000"/>
          <w:sz w:val="18"/>
          <w:szCs w:val="18"/>
        </w:rPr>
        <w:t>Nota</w:t>
      </w:r>
      <w:r>
        <w:rPr>
          <w:i/>
          <w:color w:val="000000"/>
          <w:sz w:val="18"/>
          <w:szCs w:val="18"/>
        </w:rPr>
        <w:t xml:space="preserve">. </w:t>
      </w:r>
      <w:r>
        <w:rPr>
          <w:color w:val="000000"/>
          <w:sz w:val="18"/>
          <w:szCs w:val="18"/>
        </w:rPr>
        <w:t>M, Media; DE, Desvío Estándar.</w:t>
      </w:r>
    </w:p>
    <w:p w:rsidR="00227659" w:rsidRDefault="00780573" w:rsidP="00632490">
      <w:pPr>
        <w:tabs>
          <w:tab w:val="left" w:pos="2100"/>
        </w:tabs>
        <w:spacing w:line="360" w:lineRule="auto"/>
        <w:ind w:left="709"/>
        <w:rPr>
          <w:color w:val="000000"/>
          <w:sz w:val="18"/>
          <w:szCs w:val="18"/>
          <w:lang w:val="es-MX"/>
        </w:rPr>
      </w:pPr>
      <w:r>
        <w:rPr>
          <w:color w:val="000000"/>
          <w:sz w:val="18"/>
          <w:szCs w:val="18"/>
          <w:lang w:val="es-MX"/>
        </w:rPr>
        <w:t xml:space="preserve">  </w:t>
      </w:r>
      <w:r w:rsidR="00F235DD" w:rsidRPr="00632490">
        <w:rPr>
          <w:i/>
          <w:color w:val="000000"/>
          <w:sz w:val="18"/>
          <w:szCs w:val="18"/>
          <w:lang w:val="es-MX"/>
        </w:rPr>
        <w:t>** p</w:t>
      </w:r>
      <w:r w:rsidR="00F235DD">
        <w:rPr>
          <w:color w:val="000000"/>
          <w:sz w:val="18"/>
          <w:szCs w:val="18"/>
          <w:lang w:val="es-MX"/>
        </w:rPr>
        <w:t xml:space="preserve"> &lt; .01</w:t>
      </w:r>
    </w:p>
    <w:p w:rsidR="00227659" w:rsidRDefault="00227659">
      <w:pPr>
        <w:tabs>
          <w:tab w:val="left" w:pos="2100"/>
        </w:tabs>
        <w:spacing w:line="360" w:lineRule="auto"/>
        <w:rPr>
          <w:color w:val="000000"/>
          <w:sz w:val="18"/>
          <w:szCs w:val="18"/>
          <w:lang w:val="es-MX"/>
        </w:rPr>
      </w:pPr>
    </w:p>
    <w:p w:rsidR="00227659" w:rsidRDefault="00F235DD">
      <w:pPr>
        <w:spacing w:line="480" w:lineRule="auto"/>
        <w:jc w:val="both"/>
        <w:rPr>
          <w:color w:val="000000"/>
          <w:lang w:val="es-MX"/>
        </w:rPr>
      </w:pPr>
      <w:r>
        <w:rPr>
          <w:color w:val="000000"/>
          <w:lang w:val="es-MX"/>
        </w:rPr>
        <w:t>Como se muestra en la Tabla 5, en todos los tipos de juego, se observa un mayor número de ocasiones en las que los niños recurren a estrategias argumentativas que ocasiones en las que sólo expresan su punto de vista.  El análisis estadístico realizado detectó diferencias significativas entre el punto de vista y la cantidad de estrategias en el juego dramático (</w:t>
      </w:r>
      <w:r>
        <w:rPr>
          <w:i/>
          <w:color w:val="000000"/>
          <w:lang w:val="es-MX"/>
        </w:rPr>
        <w:t>t</w:t>
      </w:r>
      <w:r>
        <w:rPr>
          <w:color w:val="000000"/>
          <w:vertAlign w:val="subscript"/>
          <w:lang w:val="es-MX"/>
        </w:rPr>
        <w:t>(43)</w:t>
      </w:r>
      <w:r>
        <w:rPr>
          <w:color w:val="000000"/>
          <w:lang w:val="es-MX"/>
        </w:rPr>
        <w:t xml:space="preserve"> = </w:t>
      </w:r>
      <w:r>
        <w:rPr>
          <w:color w:val="000000"/>
          <w:lang w:val="es-MX"/>
        </w:rPr>
        <w:lastRenderedPageBreak/>
        <w:t xml:space="preserve">4.53, </w:t>
      </w:r>
      <w:r>
        <w:rPr>
          <w:i/>
          <w:color w:val="000000"/>
          <w:lang w:val="es-MX"/>
        </w:rPr>
        <w:t>SE</w:t>
      </w:r>
      <w:r>
        <w:rPr>
          <w:color w:val="000000"/>
          <w:lang w:val="es-MX"/>
        </w:rPr>
        <w:t xml:space="preserve"> = 0.41, </w:t>
      </w:r>
      <w:r>
        <w:rPr>
          <w:i/>
          <w:color w:val="000000"/>
          <w:lang w:val="es-MX"/>
        </w:rPr>
        <w:t>p</w:t>
      </w:r>
      <w:r>
        <w:rPr>
          <w:color w:val="000000"/>
          <w:lang w:val="es-MX"/>
        </w:rPr>
        <w:t xml:space="preserve"> &lt; .001), también en el juego de construcción (</w:t>
      </w:r>
      <w:r>
        <w:rPr>
          <w:i/>
          <w:color w:val="000000"/>
          <w:lang w:val="es-MX"/>
        </w:rPr>
        <w:t>t</w:t>
      </w:r>
      <w:r>
        <w:rPr>
          <w:color w:val="000000"/>
          <w:vertAlign w:val="subscript"/>
          <w:lang w:val="es-MX"/>
        </w:rPr>
        <w:t>(44)</w:t>
      </w:r>
      <w:r>
        <w:rPr>
          <w:color w:val="000000"/>
          <w:lang w:val="es-MX"/>
        </w:rPr>
        <w:t xml:space="preserve"> = 4.10, </w:t>
      </w:r>
      <w:r>
        <w:rPr>
          <w:i/>
          <w:color w:val="000000"/>
          <w:lang w:val="es-MX"/>
        </w:rPr>
        <w:t>SE</w:t>
      </w:r>
      <w:r>
        <w:rPr>
          <w:color w:val="000000"/>
          <w:lang w:val="es-MX"/>
        </w:rPr>
        <w:t xml:space="preserve"> = 0.41, </w:t>
      </w:r>
      <w:r>
        <w:rPr>
          <w:i/>
          <w:color w:val="000000"/>
          <w:lang w:val="es-MX"/>
        </w:rPr>
        <w:t>p</w:t>
      </w:r>
      <w:r>
        <w:rPr>
          <w:color w:val="000000"/>
          <w:lang w:val="es-MX"/>
        </w:rPr>
        <w:t xml:space="preserve"> &lt; .001) y asimismo en el juego de mesa (</w:t>
      </w:r>
      <w:r>
        <w:rPr>
          <w:i/>
          <w:color w:val="000000"/>
          <w:lang w:val="es-MX"/>
        </w:rPr>
        <w:t>t</w:t>
      </w:r>
      <w:r>
        <w:rPr>
          <w:color w:val="000000"/>
          <w:vertAlign w:val="subscript"/>
          <w:lang w:val="es-MX"/>
        </w:rPr>
        <w:t>(33)</w:t>
      </w:r>
      <w:r>
        <w:rPr>
          <w:color w:val="000000"/>
          <w:lang w:val="es-MX"/>
        </w:rPr>
        <w:t xml:space="preserve"> = 5.51, </w:t>
      </w:r>
      <w:r>
        <w:rPr>
          <w:i/>
          <w:color w:val="000000"/>
          <w:lang w:val="es-MX"/>
        </w:rPr>
        <w:t>SE</w:t>
      </w:r>
      <w:r>
        <w:rPr>
          <w:color w:val="000000"/>
          <w:lang w:val="es-MX"/>
        </w:rPr>
        <w:t xml:space="preserve"> = 0.25, </w:t>
      </w:r>
      <w:r>
        <w:rPr>
          <w:i/>
          <w:color w:val="000000"/>
          <w:lang w:val="es-MX"/>
        </w:rPr>
        <w:t>p</w:t>
      </w:r>
      <w:r>
        <w:rPr>
          <w:color w:val="000000"/>
          <w:lang w:val="es-MX"/>
        </w:rPr>
        <w:t xml:space="preserve"> &lt; .001).  </w:t>
      </w:r>
    </w:p>
    <w:p w:rsidR="00227659" w:rsidRDefault="00F235DD">
      <w:pPr>
        <w:spacing w:line="480" w:lineRule="auto"/>
        <w:ind w:left="38" w:hanging="25"/>
        <w:jc w:val="both"/>
        <w:rPr>
          <w:color w:val="000000"/>
        </w:rPr>
      </w:pPr>
      <w:r>
        <w:rPr>
          <w:color w:val="000000"/>
          <w:lang w:val="es-MX"/>
        </w:rPr>
        <w:tab/>
      </w:r>
      <w:r>
        <w:rPr>
          <w:color w:val="000000"/>
          <w:lang w:val="es-MX"/>
        </w:rPr>
        <w:tab/>
      </w:r>
      <w:r>
        <w:rPr>
          <w:color w:val="000000"/>
        </w:rPr>
        <w:t xml:space="preserve">Con el propósito de analizar la relación entre el tipo de juego y las de cada una de las estrategias argumentativas empleadas por los niños, se llevó a cabo un análisis de varianza según el modelo ANOVA de un factor fijo y de medidas independientes para la variable tipo de juego (juego dramático, de mesa y de construcción).  Para llevar a cabo los análisis post-hoc se utilizó la prueba de contraste de Bonferroni.  En la Tabla 6 pueden observarse los estadísticos descriptivos por tipo de juego, y el resultado del análisis de varianza.  </w:t>
      </w:r>
    </w:p>
    <w:p w:rsidR="00227659" w:rsidRDefault="00F235DD" w:rsidP="00E36D18">
      <w:pPr>
        <w:spacing w:line="480" w:lineRule="auto"/>
        <w:rPr>
          <w:i/>
          <w:color w:val="000000"/>
        </w:rPr>
      </w:pPr>
      <w:r>
        <w:rPr>
          <w:color w:val="000000"/>
        </w:rPr>
        <w:t>Tabla 6</w:t>
      </w:r>
    </w:p>
    <w:p w:rsidR="00227659" w:rsidRDefault="00F235DD" w:rsidP="00E36D18">
      <w:pPr>
        <w:tabs>
          <w:tab w:val="left" w:pos="0"/>
        </w:tabs>
        <w:spacing w:line="480" w:lineRule="auto"/>
        <w:rPr>
          <w:color w:val="000000"/>
          <w:sz w:val="20"/>
          <w:szCs w:val="20"/>
        </w:rPr>
      </w:pPr>
      <w:r>
        <w:rPr>
          <w:i/>
          <w:color w:val="000000"/>
        </w:rPr>
        <w:t>Estrategias Argumentativas según Tipo de Juego</w:t>
      </w:r>
      <w:r w:rsidR="003C0BE3">
        <w:rPr>
          <w:i/>
          <w:color w:val="000000"/>
        </w:rPr>
        <w:t xml:space="preserve"> </w:t>
      </w:r>
    </w:p>
    <w:tbl>
      <w:tblPr>
        <w:tblW w:w="0" w:type="auto"/>
        <w:jc w:val="center"/>
        <w:tblInd w:w="-260" w:type="dxa"/>
        <w:tblLayout w:type="fixed"/>
        <w:tblCellMar>
          <w:left w:w="70" w:type="dxa"/>
          <w:right w:w="70" w:type="dxa"/>
        </w:tblCellMar>
        <w:tblLook w:val="0000"/>
      </w:tblPr>
      <w:tblGrid>
        <w:gridCol w:w="2371"/>
        <w:gridCol w:w="889"/>
        <w:gridCol w:w="850"/>
        <w:gridCol w:w="994"/>
        <w:gridCol w:w="1134"/>
        <w:gridCol w:w="992"/>
        <w:gridCol w:w="992"/>
        <w:gridCol w:w="953"/>
      </w:tblGrid>
      <w:tr w:rsidR="00D23006" w:rsidTr="00632490">
        <w:trPr>
          <w:trHeight w:val="300"/>
          <w:jc w:val="center"/>
        </w:trPr>
        <w:tc>
          <w:tcPr>
            <w:tcW w:w="2371" w:type="dxa"/>
            <w:tcBorders>
              <w:top w:val="single" w:sz="4" w:space="0" w:color="auto"/>
            </w:tcBorders>
            <w:shd w:val="clear" w:color="auto" w:fill="FFFFFF"/>
            <w:vAlign w:val="bottom"/>
          </w:tcPr>
          <w:p w:rsidR="00D23006" w:rsidRDefault="00D23006" w:rsidP="00E36D18">
            <w:pPr>
              <w:snapToGrid w:val="0"/>
              <w:spacing w:line="480" w:lineRule="auto"/>
              <w:jc w:val="center"/>
              <w:rPr>
                <w:color w:val="000000"/>
                <w:sz w:val="20"/>
                <w:szCs w:val="20"/>
              </w:rPr>
            </w:pPr>
            <w:r>
              <w:rPr>
                <w:color w:val="000000"/>
                <w:sz w:val="20"/>
                <w:szCs w:val="20"/>
              </w:rPr>
              <w:t xml:space="preserve">Estrategia </w:t>
            </w:r>
            <w:r w:rsidR="00E36D18">
              <w:rPr>
                <w:color w:val="000000"/>
                <w:sz w:val="20"/>
                <w:szCs w:val="20"/>
              </w:rPr>
              <w:t>a</w:t>
            </w:r>
            <w:r>
              <w:rPr>
                <w:color w:val="000000"/>
                <w:sz w:val="20"/>
                <w:szCs w:val="20"/>
              </w:rPr>
              <w:t>rgumentativa</w:t>
            </w:r>
          </w:p>
        </w:tc>
        <w:tc>
          <w:tcPr>
            <w:tcW w:w="1739" w:type="dxa"/>
            <w:gridSpan w:val="2"/>
            <w:tcBorders>
              <w:top w:val="single" w:sz="4" w:space="0" w:color="000000"/>
              <w:bottom w:val="single" w:sz="4" w:space="0" w:color="000000"/>
            </w:tcBorders>
            <w:shd w:val="clear" w:color="auto" w:fill="FFFFFF"/>
            <w:vAlign w:val="bottom"/>
          </w:tcPr>
          <w:p w:rsidR="00D23006" w:rsidRPr="00D23006" w:rsidRDefault="00D23006" w:rsidP="00E36D18">
            <w:pPr>
              <w:spacing w:line="480" w:lineRule="auto"/>
              <w:jc w:val="center"/>
              <w:rPr>
                <w:color w:val="000000"/>
                <w:sz w:val="20"/>
                <w:szCs w:val="20"/>
              </w:rPr>
            </w:pPr>
            <w:r>
              <w:rPr>
                <w:color w:val="000000"/>
                <w:sz w:val="20"/>
                <w:szCs w:val="20"/>
              </w:rPr>
              <w:t>Juego dramático</w:t>
            </w:r>
          </w:p>
        </w:tc>
        <w:tc>
          <w:tcPr>
            <w:tcW w:w="2128" w:type="dxa"/>
            <w:gridSpan w:val="2"/>
            <w:tcBorders>
              <w:top w:val="single" w:sz="4" w:space="0" w:color="000000"/>
              <w:bottom w:val="single" w:sz="4" w:space="0" w:color="000000"/>
            </w:tcBorders>
            <w:shd w:val="clear" w:color="auto" w:fill="FFFFFF"/>
            <w:vAlign w:val="bottom"/>
          </w:tcPr>
          <w:p w:rsidR="00D23006" w:rsidRPr="00D23006" w:rsidRDefault="00D23006" w:rsidP="00E36D18">
            <w:pPr>
              <w:spacing w:line="480" w:lineRule="auto"/>
              <w:jc w:val="center"/>
              <w:rPr>
                <w:color w:val="000000"/>
                <w:sz w:val="20"/>
                <w:szCs w:val="20"/>
              </w:rPr>
            </w:pPr>
            <w:r w:rsidRPr="00D23006">
              <w:rPr>
                <w:color w:val="000000"/>
                <w:sz w:val="20"/>
                <w:szCs w:val="20"/>
              </w:rPr>
              <w:t>Juego de construcciones</w:t>
            </w:r>
          </w:p>
        </w:tc>
        <w:tc>
          <w:tcPr>
            <w:tcW w:w="1984" w:type="dxa"/>
            <w:gridSpan w:val="2"/>
            <w:tcBorders>
              <w:top w:val="single" w:sz="4" w:space="0" w:color="000000"/>
              <w:bottom w:val="single" w:sz="4" w:space="0" w:color="000000"/>
            </w:tcBorders>
            <w:shd w:val="clear" w:color="auto" w:fill="FFFFFF"/>
            <w:vAlign w:val="bottom"/>
          </w:tcPr>
          <w:p w:rsidR="00D23006" w:rsidRPr="00D23006" w:rsidRDefault="00D23006" w:rsidP="00E36D18">
            <w:pPr>
              <w:spacing w:line="480" w:lineRule="auto"/>
              <w:jc w:val="center"/>
              <w:rPr>
                <w:color w:val="000000"/>
                <w:sz w:val="20"/>
                <w:szCs w:val="20"/>
              </w:rPr>
            </w:pPr>
            <w:r w:rsidRPr="00D23006">
              <w:rPr>
                <w:color w:val="000000"/>
                <w:sz w:val="20"/>
                <w:szCs w:val="20"/>
              </w:rPr>
              <w:t xml:space="preserve">Juego de </w:t>
            </w:r>
            <w:r w:rsidR="00E36D18">
              <w:rPr>
                <w:color w:val="000000"/>
                <w:sz w:val="20"/>
                <w:szCs w:val="20"/>
              </w:rPr>
              <w:t>m</w:t>
            </w:r>
            <w:r w:rsidRPr="00D23006">
              <w:rPr>
                <w:color w:val="000000"/>
                <w:sz w:val="20"/>
                <w:szCs w:val="20"/>
              </w:rPr>
              <w:t>esa</w:t>
            </w:r>
          </w:p>
        </w:tc>
        <w:tc>
          <w:tcPr>
            <w:tcW w:w="953" w:type="dxa"/>
            <w:tcBorders>
              <w:top w:val="single" w:sz="4" w:space="0" w:color="000000"/>
            </w:tcBorders>
            <w:shd w:val="clear" w:color="auto" w:fill="FFFFFF"/>
            <w:vAlign w:val="bottom"/>
          </w:tcPr>
          <w:p w:rsidR="00D23006" w:rsidRDefault="00D23006" w:rsidP="00E36D18">
            <w:pPr>
              <w:snapToGrid w:val="0"/>
              <w:spacing w:line="480" w:lineRule="auto"/>
              <w:jc w:val="center"/>
              <w:rPr>
                <w:color w:val="000000"/>
                <w:sz w:val="20"/>
                <w:szCs w:val="20"/>
              </w:rPr>
            </w:pPr>
            <w:r>
              <w:rPr>
                <w:color w:val="000000"/>
                <w:sz w:val="20"/>
                <w:szCs w:val="20"/>
              </w:rPr>
              <w:t>F (2,121)</w:t>
            </w:r>
          </w:p>
        </w:tc>
      </w:tr>
      <w:tr w:rsidR="00D23006" w:rsidTr="00632490">
        <w:trPr>
          <w:trHeight w:val="300"/>
          <w:jc w:val="center"/>
        </w:trPr>
        <w:tc>
          <w:tcPr>
            <w:tcW w:w="2371" w:type="dxa"/>
            <w:tcBorders>
              <w:bottom w:val="single" w:sz="4" w:space="0" w:color="auto"/>
            </w:tcBorders>
            <w:shd w:val="clear" w:color="auto" w:fill="FFFFFF"/>
            <w:vAlign w:val="bottom"/>
          </w:tcPr>
          <w:p w:rsidR="00227659" w:rsidRDefault="00227659" w:rsidP="00E36D18">
            <w:pPr>
              <w:snapToGrid w:val="0"/>
              <w:spacing w:line="480" w:lineRule="auto"/>
              <w:jc w:val="center"/>
              <w:rPr>
                <w:color w:val="000000"/>
                <w:sz w:val="20"/>
                <w:szCs w:val="20"/>
              </w:rPr>
            </w:pPr>
          </w:p>
        </w:tc>
        <w:tc>
          <w:tcPr>
            <w:tcW w:w="889"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i/>
                <w:color w:val="000000"/>
                <w:sz w:val="20"/>
                <w:szCs w:val="20"/>
              </w:rPr>
            </w:pPr>
            <w:r>
              <w:rPr>
                <w:i/>
                <w:color w:val="000000"/>
                <w:sz w:val="20"/>
                <w:szCs w:val="20"/>
              </w:rPr>
              <w:t>M</w:t>
            </w:r>
          </w:p>
        </w:tc>
        <w:tc>
          <w:tcPr>
            <w:tcW w:w="850"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i/>
                <w:color w:val="000000"/>
                <w:sz w:val="20"/>
                <w:szCs w:val="20"/>
              </w:rPr>
            </w:pPr>
            <w:r>
              <w:rPr>
                <w:i/>
                <w:color w:val="000000"/>
                <w:sz w:val="20"/>
                <w:szCs w:val="20"/>
              </w:rPr>
              <w:t>DE</w:t>
            </w:r>
          </w:p>
        </w:tc>
        <w:tc>
          <w:tcPr>
            <w:tcW w:w="994"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i/>
                <w:color w:val="000000"/>
                <w:sz w:val="20"/>
                <w:szCs w:val="20"/>
              </w:rPr>
            </w:pPr>
            <w:r>
              <w:rPr>
                <w:i/>
                <w:color w:val="000000"/>
                <w:sz w:val="20"/>
                <w:szCs w:val="20"/>
              </w:rPr>
              <w:t>M</w:t>
            </w:r>
          </w:p>
        </w:tc>
        <w:tc>
          <w:tcPr>
            <w:tcW w:w="1134"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i/>
                <w:color w:val="000000"/>
                <w:sz w:val="20"/>
                <w:szCs w:val="20"/>
              </w:rPr>
            </w:pPr>
            <w:r>
              <w:rPr>
                <w:i/>
                <w:color w:val="000000"/>
                <w:sz w:val="20"/>
                <w:szCs w:val="20"/>
              </w:rPr>
              <w:t>DE</w:t>
            </w:r>
          </w:p>
        </w:tc>
        <w:tc>
          <w:tcPr>
            <w:tcW w:w="992"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i/>
                <w:color w:val="000000"/>
                <w:sz w:val="20"/>
                <w:szCs w:val="20"/>
              </w:rPr>
            </w:pPr>
            <w:r>
              <w:rPr>
                <w:i/>
                <w:color w:val="000000"/>
                <w:sz w:val="20"/>
                <w:szCs w:val="20"/>
              </w:rPr>
              <w:t>M</w:t>
            </w:r>
          </w:p>
        </w:tc>
        <w:tc>
          <w:tcPr>
            <w:tcW w:w="992"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color w:val="000000"/>
                <w:sz w:val="20"/>
                <w:szCs w:val="20"/>
              </w:rPr>
            </w:pPr>
            <w:r>
              <w:rPr>
                <w:i/>
                <w:color w:val="000000"/>
                <w:sz w:val="20"/>
                <w:szCs w:val="20"/>
              </w:rPr>
              <w:t>DE</w:t>
            </w:r>
          </w:p>
        </w:tc>
        <w:tc>
          <w:tcPr>
            <w:tcW w:w="953" w:type="dxa"/>
            <w:tcBorders>
              <w:bottom w:val="single" w:sz="4" w:space="0" w:color="auto"/>
            </w:tcBorders>
            <w:shd w:val="clear" w:color="auto" w:fill="FFFFFF"/>
            <w:vAlign w:val="bottom"/>
          </w:tcPr>
          <w:p w:rsidR="00227659" w:rsidRDefault="00227659" w:rsidP="00E36D18">
            <w:pPr>
              <w:snapToGrid w:val="0"/>
              <w:spacing w:line="480" w:lineRule="auto"/>
              <w:jc w:val="center"/>
              <w:rPr>
                <w:color w:val="000000"/>
                <w:sz w:val="20"/>
                <w:szCs w:val="20"/>
              </w:rPr>
            </w:pPr>
          </w:p>
        </w:tc>
      </w:tr>
      <w:tr w:rsidR="00D23006" w:rsidTr="00632490">
        <w:trPr>
          <w:trHeight w:val="300"/>
          <w:jc w:val="center"/>
        </w:trPr>
        <w:tc>
          <w:tcPr>
            <w:tcW w:w="2371" w:type="dxa"/>
            <w:tcBorders>
              <w:top w:val="single" w:sz="4" w:space="0" w:color="auto"/>
            </w:tcBorders>
            <w:shd w:val="clear" w:color="auto" w:fill="FFFFFF"/>
            <w:vAlign w:val="bottom"/>
          </w:tcPr>
          <w:p w:rsidR="00227659" w:rsidRDefault="00E36D18" w:rsidP="00F039EB">
            <w:pPr>
              <w:spacing w:line="480" w:lineRule="auto"/>
              <w:rPr>
                <w:color w:val="000000"/>
                <w:sz w:val="20"/>
                <w:szCs w:val="20"/>
              </w:rPr>
            </w:pPr>
            <w:r>
              <w:rPr>
                <w:color w:val="000000"/>
                <w:sz w:val="20"/>
                <w:szCs w:val="20"/>
              </w:rPr>
              <w:t>Punto de v</w:t>
            </w:r>
            <w:r w:rsidR="00F235DD">
              <w:rPr>
                <w:color w:val="000000"/>
                <w:sz w:val="20"/>
                <w:szCs w:val="20"/>
              </w:rPr>
              <w:t>ista</w:t>
            </w:r>
          </w:p>
        </w:tc>
        <w:tc>
          <w:tcPr>
            <w:tcW w:w="889" w:type="dxa"/>
            <w:tcBorders>
              <w:top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.50</w:t>
            </w:r>
          </w:p>
        </w:tc>
        <w:tc>
          <w:tcPr>
            <w:tcW w:w="850" w:type="dxa"/>
            <w:tcBorders>
              <w:top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.79</w:t>
            </w:r>
          </w:p>
        </w:tc>
        <w:tc>
          <w:tcPr>
            <w:tcW w:w="994" w:type="dxa"/>
            <w:tcBorders>
              <w:top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.76</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.83</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.57</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.85</w:t>
            </w:r>
          </w:p>
        </w:tc>
        <w:tc>
          <w:tcPr>
            <w:tcW w:w="953" w:type="dxa"/>
            <w:tcBorders>
              <w:top w:val="single" w:sz="4" w:space="0" w:color="auto"/>
            </w:tcBorders>
            <w:shd w:val="clear" w:color="auto" w:fill="FFFFFF"/>
          </w:tcPr>
          <w:p w:rsidR="00227659" w:rsidRDefault="00F235DD" w:rsidP="00E36D18">
            <w:pPr>
              <w:spacing w:line="480" w:lineRule="auto"/>
              <w:jc w:val="center"/>
              <w:rPr>
                <w:color w:val="000000"/>
                <w:sz w:val="20"/>
                <w:szCs w:val="20"/>
              </w:rPr>
            </w:pPr>
            <w:r>
              <w:rPr>
                <w:color w:val="000000"/>
                <w:sz w:val="20"/>
                <w:szCs w:val="20"/>
              </w:rPr>
              <w:t>1.14</w:t>
            </w:r>
          </w:p>
        </w:tc>
      </w:tr>
      <w:tr w:rsidR="00227659" w:rsidTr="00D23006">
        <w:trPr>
          <w:trHeight w:val="300"/>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Reiteración 1</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.39</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.75</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.31</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.67</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.57</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.85</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1.21</w:t>
            </w:r>
          </w:p>
        </w:tc>
      </w:tr>
      <w:tr w:rsidR="00227659" w:rsidTr="00D23006">
        <w:trPr>
          <w:trHeight w:val="300"/>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Reiteración 2</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.41</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.82</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.29</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.66</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.14</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.36</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1.60</w:t>
            </w:r>
          </w:p>
        </w:tc>
      </w:tr>
      <w:tr w:rsidR="00227659" w:rsidTr="00D23006">
        <w:trPr>
          <w:trHeight w:val="300"/>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Anticipación</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.09</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.47</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.29</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.63</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.06</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.24</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2.78</w:t>
            </w:r>
          </w:p>
        </w:tc>
      </w:tr>
      <w:tr w:rsidR="00227659" w:rsidTr="00D23006">
        <w:trPr>
          <w:trHeight w:val="300"/>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Narración</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.02</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.15</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.16</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.42</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.29</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.75</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2.93</w:t>
            </w:r>
            <w:r>
              <w:rPr>
                <w:color w:val="000000"/>
                <w:sz w:val="20"/>
                <w:szCs w:val="20"/>
                <w:vertAlign w:val="superscript"/>
              </w:rPr>
              <w:t>+</w:t>
            </w:r>
          </w:p>
        </w:tc>
      </w:tr>
      <w:tr w:rsidR="00227659" w:rsidTr="00D23006">
        <w:trPr>
          <w:trHeight w:val="300"/>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Descripción</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1.05</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1.20</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.53</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.89</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.63</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.65</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3.51*</w:t>
            </w:r>
          </w:p>
        </w:tc>
      </w:tr>
      <w:tr w:rsidR="00227659" w:rsidTr="00D23006">
        <w:trPr>
          <w:trHeight w:val="423"/>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Generalización</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.14</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.41</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.13</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.40</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.11</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.32</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0.04</w:t>
            </w:r>
          </w:p>
        </w:tc>
      </w:tr>
      <w:tr w:rsidR="00227659" w:rsidTr="00D23006">
        <w:trPr>
          <w:trHeight w:val="387"/>
          <w:jc w:val="center"/>
        </w:trPr>
        <w:tc>
          <w:tcPr>
            <w:tcW w:w="2371" w:type="dxa"/>
            <w:shd w:val="clear" w:color="auto" w:fill="FFFFFF"/>
            <w:vAlign w:val="bottom"/>
          </w:tcPr>
          <w:p w:rsidR="00227659" w:rsidRDefault="0006469F" w:rsidP="00F039EB">
            <w:pPr>
              <w:spacing w:line="200" w:lineRule="atLeast"/>
              <w:rPr>
                <w:color w:val="000000"/>
                <w:sz w:val="20"/>
                <w:szCs w:val="20"/>
              </w:rPr>
            </w:pPr>
            <w:r>
              <w:rPr>
                <w:color w:val="000000"/>
                <w:sz w:val="20"/>
                <w:szCs w:val="20"/>
              </w:rPr>
              <w:t>Apelación a la a</w:t>
            </w:r>
            <w:r w:rsidR="00F235DD">
              <w:rPr>
                <w:color w:val="000000"/>
                <w:sz w:val="20"/>
                <w:szCs w:val="20"/>
              </w:rPr>
              <w:t>utoridad</w:t>
            </w:r>
          </w:p>
        </w:tc>
        <w:tc>
          <w:tcPr>
            <w:tcW w:w="889" w:type="dxa"/>
            <w:shd w:val="clear" w:color="auto" w:fill="FFFFFF"/>
          </w:tcPr>
          <w:p w:rsidR="00227659" w:rsidRDefault="00F235DD" w:rsidP="00E36D18">
            <w:pPr>
              <w:spacing w:line="200" w:lineRule="atLeast"/>
              <w:jc w:val="center"/>
              <w:rPr>
                <w:color w:val="000000"/>
                <w:sz w:val="20"/>
                <w:szCs w:val="20"/>
              </w:rPr>
            </w:pPr>
            <w:r>
              <w:rPr>
                <w:color w:val="000000"/>
                <w:sz w:val="20"/>
                <w:szCs w:val="20"/>
              </w:rPr>
              <w:t>.09</w:t>
            </w:r>
          </w:p>
        </w:tc>
        <w:tc>
          <w:tcPr>
            <w:tcW w:w="850" w:type="dxa"/>
            <w:shd w:val="clear" w:color="auto" w:fill="FFFFFF"/>
          </w:tcPr>
          <w:p w:rsidR="00227659" w:rsidRDefault="00F235DD" w:rsidP="00E36D18">
            <w:pPr>
              <w:spacing w:line="200" w:lineRule="atLeast"/>
              <w:jc w:val="center"/>
              <w:rPr>
                <w:color w:val="000000"/>
                <w:sz w:val="20"/>
                <w:szCs w:val="20"/>
              </w:rPr>
            </w:pPr>
            <w:r>
              <w:rPr>
                <w:color w:val="000000"/>
                <w:sz w:val="20"/>
                <w:szCs w:val="20"/>
              </w:rPr>
              <w:t>.36</w:t>
            </w:r>
          </w:p>
        </w:tc>
        <w:tc>
          <w:tcPr>
            <w:tcW w:w="994" w:type="dxa"/>
            <w:shd w:val="clear" w:color="auto" w:fill="FFFFFF"/>
          </w:tcPr>
          <w:p w:rsidR="00227659" w:rsidRDefault="00F235DD" w:rsidP="00E36D18">
            <w:pPr>
              <w:spacing w:line="200" w:lineRule="atLeast"/>
              <w:jc w:val="center"/>
              <w:rPr>
                <w:color w:val="000000"/>
                <w:sz w:val="20"/>
                <w:szCs w:val="20"/>
              </w:rPr>
            </w:pPr>
            <w:r>
              <w:rPr>
                <w:color w:val="000000"/>
                <w:sz w:val="20"/>
                <w:szCs w:val="20"/>
              </w:rPr>
              <w:t>.16</w:t>
            </w:r>
          </w:p>
        </w:tc>
        <w:tc>
          <w:tcPr>
            <w:tcW w:w="1134" w:type="dxa"/>
            <w:shd w:val="clear" w:color="auto" w:fill="FFFFFF"/>
          </w:tcPr>
          <w:p w:rsidR="00227659" w:rsidRDefault="00F235DD" w:rsidP="00E36D18">
            <w:pPr>
              <w:spacing w:line="200" w:lineRule="atLeast"/>
              <w:jc w:val="center"/>
              <w:rPr>
                <w:color w:val="000000"/>
                <w:sz w:val="20"/>
                <w:szCs w:val="20"/>
              </w:rPr>
            </w:pPr>
            <w:r>
              <w:rPr>
                <w:color w:val="000000"/>
                <w:sz w:val="20"/>
                <w:szCs w:val="20"/>
              </w:rPr>
              <w:t>.47</w:t>
            </w:r>
          </w:p>
        </w:tc>
        <w:tc>
          <w:tcPr>
            <w:tcW w:w="992" w:type="dxa"/>
            <w:shd w:val="clear" w:color="auto" w:fill="FFFFFF"/>
          </w:tcPr>
          <w:p w:rsidR="00227659" w:rsidRDefault="00F235DD" w:rsidP="00E36D18">
            <w:pPr>
              <w:spacing w:line="200" w:lineRule="atLeast"/>
              <w:jc w:val="center"/>
              <w:rPr>
                <w:color w:val="000000"/>
                <w:sz w:val="20"/>
                <w:szCs w:val="20"/>
              </w:rPr>
            </w:pPr>
            <w:r>
              <w:rPr>
                <w:color w:val="000000"/>
                <w:sz w:val="20"/>
                <w:szCs w:val="20"/>
              </w:rPr>
              <w:t>.09</w:t>
            </w:r>
          </w:p>
        </w:tc>
        <w:tc>
          <w:tcPr>
            <w:tcW w:w="992" w:type="dxa"/>
            <w:shd w:val="clear" w:color="auto" w:fill="FFFFFF"/>
          </w:tcPr>
          <w:p w:rsidR="00227659" w:rsidRDefault="00F235DD" w:rsidP="00E36D18">
            <w:pPr>
              <w:spacing w:line="200" w:lineRule="atLeast"/>
              <w:jc w:val="center"/>
              <w:rPr>
                <w:color w:val="000000"/>
                <w:sz w:val="20"/>
                <w:szCs w:val="20"/>
              </w:rPr>
            </w:pPr>
            <w:r>
              <w:rPr>
                <w:color w:val="000000"/>
                <w:sz w:val="20"/>
                <w:szCs w:val="20"/>
              </w:rPr>
              <w:t>.37</w:t>
            </w:r>
          </w:p>
        </w:tc>
        <w:tc>
          <w:tcPr>
            <w:tcW w:w="953" w:type="dxa"/>
            <w:shd w:val="clear" w:color="auto" w:fill="FFFFFF"/>
          </w:tcPr>
          <w:p w:rsidR="00227659" w:rsidRDefault="00F235DD" w:rsidP="00E36D18">
            <w:pPr>
              <w:spacing w:line="200" w:lineRule="atLeast"/>
              <w:jc w:val="center"/>
              <w:rPr>
                <w:color w:val="000000"/>
                <w:sz w:val="20"/>
                <w:szCs w:val="20"/>
              </w:rPr>
            </w:pPr>
            <w:r>
              <w:rPr>
                <w:color w:val="000000"/>
                <w:sz w:val="20"/>
                <w:szCs w:val="20"/>
              </w:rPr>
              <w:t>0.39</w:t>
            </w:r>
          </w:p>
        </w:tc>
      </w:tr>
      <w:tr w:rsidR="00227659" w:rsidTr="00D23006">
        <w:trPr>
          <w:trHeight w:val="646"/>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Cortesía</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.09</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.29</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.27</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.69</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.09</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.51</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1.62</w:t>
            </w:r>
          </w:p>
        </w:tc>
      </w:tr>
      <w:tr w:rsidR="00227659" w:rsidTr="00D23006">
        <w:trPr>
          <w:trHeight w:val="300"/>
          <w:jc w:val="center"/>
        </w:trPr>
        <w:tc>
          <w:tcPr>
            <w:tcW w:w="2371" w:type="dxa"/>
            <w:tcBorders>
              <w:bottom w:val="single" w:sz="4" w:space="0" w:color="000000"/>
            </w:tcBorders>
            <w:shd w:val="clear" w:color="auto" w:fill="FFFFFF"/>
            <w:vAlign w:val="bottom"/>
          </w:tcPr>
          <w:p w:rsidR="00227659" w:rsidRDefault="0006469F" w:rsidP="00F039EB">
            <w:pPr>
              <w:spacing w:line="480" w:lineRule="auto"/>
              <w:rPr>
                <w:color w:val="000000"/>
                <w:sz w:val="20"/>
                <w:szCs w:val="20"/>
              </w:rPr>
            </w:pPr>
            <w:r>
              <w:rPr>
                <w:color w:val="000000"/>
                <w:sz w:val="20"/>
                <w:szCs w:val="20"/>
              </w:rPr>
              <w:t>Propuesta a</w:t>
            </w:r>
            <w:r w:rsidR="00F235DD">
              <w:rPr>
                <w:color w:val="000000"/>
                <w:sz w:val="20"/>
                <w:szCs w:val="20"/>
              </w:rPr>
              <w:t>lternativa</w:t>
            </w:r>
          </w:p>
        </w:tc>
        <w:tc>
          <w:tcPr>
            <w:tcW w:w="889"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.07</w:t>
            </w:r>
          </w:p>
        </w:tc>
        <w:tc>
          <w:tcPr>
            <w:tcW w:w="850"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.25</w:t>
            </w:r>
          </w:p>
        </w:tc>
        <w:tc>
          <w:tcPr>
            <w:tcW w:w="994"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.29</w:t>
            </w:r>
          </w:p>
        </w:tc>
        <w:tc>
          <w:tcPr>
            <w:tcW w:w="1134"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.63</w:t>
            </w:r>
          </w:p>
        </w:tc>
        <w:tc>
          <w:tcPr>
            <w:tcW w:w="992"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.03</w:t>
            </w:r>
          </w:p>
        </w:tc>
        <w:tc>
          <w:tcPr>
            <w:tcW w:w="992"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.17</w:t>
            </w:r>
          </w:p>
        </w:tc>
        <w:tc>
          <w:tcPr>
            <w:tcW w:w="953" w:type="dxa"/>
            <w:tcBorders>
              <w:bottom w:val="single" w:sz="4" w:space="0" w:color="000000"/>
            </w:tcBorders>
            <w:shd w:val="clear" w:color="auto" w:fill="FFFFFF"/>
          </w:tcPr>
          <w:p w:rsidR="00227659" w:rsidRDefault="00F235DD" w:rsidP="00E36D18">
            <w:pPr>
              <w:spacing w:line="480" w:lineRule="auto"/>
              <w:jc w:val="center"/>
              <w:rPr>
                <w:color w:val="000000"/>
                <w:sz w:val="18"/>
                <w:szCs w:val="18"/>
              </w:rPr>
            </w:pPr>
            <w:r>
              <w:rPr>
                <w:color w:val="000000"/>
                <w:sz w:val="20"/>
                <w:szCs w:val="20"/>
              </w:rPr>
              <w:t>4.77**</w:t>
            </w:r>
          </w:p>
        </w:tc>
      </w:tr>
    </w:tbl>
    <w:p w:rsidR="00632490" w:rsidRPr="00F21DCE" w:rsidRDefault="00632490" w:rsidP="00632490">
      <w:pPr>
        <w:spacing w:line="360" w:lineRule="auto"/>
        <w:jc w:val="both"/>
        <w:rPr>
          <w:color w:val="000000"/>
          <w:sz w:val="18"/>
          <w:szCs w:val="18"/>
        </w:rPr>
      </w:pPr>
      <w:r w:rsidRPr="00F21DCE">
        <w:rPr>
          <w:i/>
          <w:color w:val="000000"/>
          <w:sz w:val="18"/>
          <w:szCs w:val="18"/>
        </w:rPr>
        <w:t>Nota</w:t>
      </w:r>
      <w:r>
        <w:rPr>
          <w:i/>
          <w:color w:val="000000"/>
          <w:sz w:val="18"/>
          <w:szCs w:val="18"/>
        </w:rPr>
        <w:t xml:space="preserve">. </w:t>
      </w:r>
      <w:r>
        <w:rPr>
          <w:color w:val="000000"/>
          <w:sz w:val="18"/>
          <w:szCs w:val="18"/>
        </w:rPr>
        <w:t>M, Media; DE, Desvío Estándar.</w:t>
      </w:r>
    </w:p>
    <w:p w:rsidR="00227659" w:rsidRDefault="00F235DD">
      <w:pPr>
        <w:spacing w:line="480" w:lineRule="auto"/>
        <w:rPr>
          <w:color w:val="000000"/>
        </w:rPr>
      </w:pPr>
      <w:r w:rsidRPr="00632490">
        <w:rPr>
          <w:i/>
          <w:color w:val="000000"/>
          <w:sz w:val="18"/>
          <w:szCs w:val="18"/>
        </w:rPr>
        <w:t>** p</w:t>
      </w:r>
      <w:r>
        <w:rPr>
          <w:color w:val="000000"/>
          <w:sz w:val="18"/>
          <w:szCs w:val="18"/>
        </w:rPr>
        <w:t xml:space="preserve"> &lt; .01, </w:t>
      </w:r>
      <w:r w:rsidRPr="00632490">
        <w:rPr>
          <w:i/>
          <w:color w:val="000000"/>
          <w:sz w:val="18"/>
          <w:szCs w:val="18"/>
        </w:rPr>
        <w:t>* p</w:t>
      </w:r>
      <w:r>
        <w:rPr>
          <w:color w:val="000000"/>
          <w:sz w:val="18"/>
          <w:szCs w:val="18"/>
        </w:rPr>
        <w:t xml:space="preserve"> &lt; .05, </w:t>
      </w:r>
      <w:r w:rsidRPr="00632490">
        <w:rPr>
          <w:i/>
          <w:color w:val="000000"/>
          <w:sz w:val="18"/>
          <w:szCs w:val="18"/>
          <w:vertAlign w:val="superscript"/>
        </w:rPr>
        <w:t>+</w:t>
      </w:r>
      <w:r w:rsidRPr="00632490">
        <w:rPr>
          <w:i/>
          <w:color w:val="000000"/>
          <w:sz w:val="18"/>
          <w:szCs w:val="18"/>
        </w:rPr>
        <w:t xml:space="preserve"> p</w:t>
      </w:r>
      <w:r>
        <w:rPr>
          <w:color w:val="000000"/>
          <w:sz w:val="18"/>
          <w:szCs w:val="18"/>
        </w:rPr>
        <w:t xml:space="preserve"> = .06</w:t>
      </w:r>
    </w:p>
    <w:p w:rsidR="00227659" w:rsidRDefault="00F235DD">
      <w:pPr>
        <w:spacing w:line="480" w:lineRule="auto"/>
        <w:jc w:val="both"/>
        <w:rPr>
          <w:color w:val="000000"/>
          <w:lang w:val="es-MX"/>
        </w:rPr>
      </w:pPr>
      <w:r>
        <w:rPr>
          <w:color w:val="000000"/>
        </w:rPr>
        <w:tab/>
        <w:t xml:space="preserve">El análisis muestra diferencias marginales en la estrategia de Narración entre los tres tipos de juegos </w:t>
      </w:r>
      <w:r>
        <w:rPr>
          <w:i/>
          <w:color w:val="000000"/>
        </w:rPr>
        <w:t>F</w:t>
      </w:r>
      <w:r>
        <w:rPr>
          <w:color w:val="000000"/>
          <w:vertAlign w:val="subscript"/>
        </w:rPr>
        <w:t>(2, 121)</w:t>
      </w:r>
      <w:r>
        <w:rPr>
          <w:color w:val="000000"/>
        </w:rPr>
        <w:t xml:space="preserve"> = 2.93, </w:t>
      </w:r>
      <w:r>
        <w:rPr>
          <w:i/>
          <w:color w:val="000000"/>
        </w:rPr>
        <w:t>MSE</w:t>
      </w:r>
      <w:r>
        <w:rPr>
          <w:color w:val="000000"/>
        </w:rPr>
        <w:t xml:space="preserve"> = 0.23, </w:t>
      </w:r>
      <w:r>
        <w:rPr>
          <w:i/>
          <w:color w:val="000000"/>
        </w:rPr>
        <w:t>p</w:t>
      </w:r>
      <w:r>
        <w:rPr>
          <w:color w:val="000000"/>
        </w:rPr>
        <w:t xml:space="preserve"> = .06.  El análisis post-hoc muestra diferencias significativas (</w:t>
      </w:r>
      <w:r>
        <w:rPr>
          <w:i/>
          <w:color w:val="000000"/>
        </w:rPr>
        <w:t>p</w:t>
      </w:r>
      <w:r>
        <w:rPr>
          <w:color w:val="000000"/>
        </w:rPr>
        <w:t xml:space="preserve"> = .05) entre el juego dramático y el juego de mesa, a favor del juego de mesa, pero no detecta diferencias entre el juego dramático y el juego de construcción, ni entre este </w:t>
      </w:r>
      <w:r>
        <w:rPr>
          <w:color w:val="000000"/>
        </w:rPr>
        <w:lastRenderedPageBreak/>
        <w:t xml:space="preserve">último y el juego de mesa.  Por otra parte, el análisis detecta diferencias significativas entre los diferentes tipos de juego en la estrategia de Descripción </w:t>
      </w:r>
      <w:r>
        <w:rPr>
          <w:i/>
          <w:color w:val="000000"/>
        </w:rPr>
        <w:t>F</w:t>
      </w:r>
      <w:r>
        <w:rPr>
          <w:color w:val="000000"/>
          <w:vertAlign w:val="subscript"/>
        </w:rPr>
        <w:t>(2, 121)</w:t>
      </w:r>
      <w:r>
        <w:rPr>
          <w:color w:val="000000"/>
        </w:rPr>
        <w:t xml:space="preserve"> = 3.51, </w:t>
      </w:r>
      <w:r>
        <w:rPr>
          <w:i/>
          <w:color w:val="000000"/>
        </w:rPr>
        <w:t>MSE</w:t>
      </w:r>
      <w:r>
        <w:rPr>
          <w:color w:val="000000"/>
        </w:rPr>
        <w:t xml:space="preserve"> = 0.92, </w:t>
      </w:r>
      <w:r>
        <w:rPr>
          <w:i/>
          <w:color w:val="000000"/>
        </w:rPr>
        <w:t>p</w:t>
      </w:r>
      <w:r>
        <w:rPr>
          <w:color w:val="000000"/>
        </w:rPr>
        <w:t xml:space="preserve"> &lt; .05.  Al llevar a cabo el análisis post-hoc, se observan diferencias significativas (</w:t>
      </w:r>
      <w:r>
        <w:rPr>
          <w:i/>
          <w:color w:val="000000"/>
        </w:rPr>
        <w:t>p</w:t>
      </w:r>
      <w:r>
        <w:rPr>
          <w:color w:val="000000"/>
        </w:rPr>
        <w:t xml:space="preserve"> &lt; .05) entre el juego dramático y el juego de construcción, a favor del juego dramático.  El análisis no detecta diferencias entre el juego dramático y el juego de mesa, ni entre este último y el juego de construcción.  </w:t>
      </w:r>
      <w:r>
        <w:rPr>
          <w:color w:val="000000"/>
          <w:lang w:val="es-MX"/>
        </w:rPr>
        <w:t xml:space="preserve">Por último, se ponen de manifiesto diferencias significativas entre los distintos tipos de juego en la estrategia de Propuesta Alternativa </w:t>
      </w:r>
      <w:r>
        <w:rPr>
          <w:i/>
          <w:color w:val="000000"/>
          <w:lang w:val="es-MX"/>
        </w:rPr>
        <w:t>F</w:t>
      </w:r>
      <w:r>
        <w:rPr>
          <w:color w:val="000000"/>
          <w:vertAlign w:val="subscript"/>
          <w:lang w:val="es-MX"/>
        </w:rPr>
        <w:t>(2, 121)</w:t>
      </w:r>
      <w:r>
        <w:rPr>
          <w:color w:val="000000"/>
          <w:lang w:val="es-MX"/>
        </w:rPr>
        <w:t xml:space="preserve"> = 4.77, </w:t>
      </w:r>
      <w:r>
        <w:rPr>
          <w:i/>
          <w:color w:val="000000"/>
          <w:lang w:val="es-MX"/>
        </w:rPr>
        <w:t>MSE</w:t>
      </w:r>
      <w:r>
        <w:rPr>
          <w:color w:val="000000"/>
          <w:lang w:val="es-MX"/>
        </w:rPr>
        <w:t xml:space="preserve"> = 0.17, </w:t>
      </w:r>
      <w:r>
        <w:rPr>
          <w:i/>
          <w:color w:val="000000"/>
          <w:lang w:val="es-MX"/>
        </w:rPr>
        <w:t>p</w:t>
      </w:r>
      <w:r>
        <w:rPr>
          <w:color w:val="000000"/>
          <w:lang w:val="es-MX"/>
        </w:rPr>
        <w:t xml:space="preserve"> &lt; .01.  Al realizar los análisis post-hoc, se observa que el juego de construcción muestra una mayor y significativa frecuencia promedio de esta estrategia en comparación con el juego dramático (</w:t>
      </w:r>
      <w:r>
        <w:rPr>
          <w:i/>
          <w:color w:val="000000"/>
          <w:lang w:val="es-MX"/>
        </w:rPr>
        <w:t>p</w:t>
      </w:r>
      <w:r>
        <w:rPr>
          <w:color w:val="000000"/>
          <w:lang w:val="es-MX"/>
        </w:rPr>
        <w:t xml:space="preserve"> &lt; .05) y el juego de mesa (</w:t>
      </w:r>
      <w:r>
        <w:rPr>
          <w:i/>
          <w:color w:val="000000"/>
          <w:lang w:val="es-MX"/>
        </w:rPr>
        <w:t>p</w:t>
      </w:r>
      <w:r>
        <w:rPr>
          <w:color w:val="000000"/>
          <w:lang w:val="es-MX"/>
        </w:rPr>
        <w:t xml:space="preserve"> &lt; .05).  El análisis no detecta diferencias significativas entre el juego dramático y el juego de mesa.</w:t>
      </w:r>
    </w:p>
    <w:p w:rsidR="00227659" w:rsidRDefault="00F235DD">
      <w:pPr>
        <w:spacing w:line="480" w:lineRule="auto"/>
        <w:ind w:firstLine="708"/>
        <w:jc w:val="both"/>
        <w:rPr>
          <w:color w:val="000000"/>
          <w:lang w:val="es-MX"/>
        </w:rPr>
      </w:pPr>
      <w:r>
        <w:rPr>
          <w:color w:val="000000"/>
          <w:lang w:val="es-MX"/>
        </w:rPr>
        <w:t xml:space="preserve">Cuando se analizan las diferencias entre la expresión del punto de vista y el uso de estrategias argumentativas en las disputas considerando el tipo de juego para cada grupo de edad, se observan algunas diferencias entre los grupos.  Los resultados del análisis empleando la prueba </w:t>
      </w:r>
      <w:r>
        <w:rPr>
          <w:i/>
          <w:color w:val="000000"/>
          <w:lang w:val="es-MX"/>
        </w:rPr>
        <w:t>t</w:t>
      </w:r>
      <w:r>
        <w:rPr>
          <w:color w:val="000000"/>
          <w:lang w:val="es-MX"/>
        </w:rPr>
        <w:t xml:space="preserve"> de Student se presentan en la tabla 7.</w:t>
      </w:r>
    </w:p>
    <w:p w:rsidR="00227659" w:rsidRDefault="00227659">
      <w:pPr>
        <w:spacing w:line="360" w:lineRule="auto"/>
        <w:rPr>
          <w:color w:val="000000"/>
          <w:lang w:val="es-MX"/>
        </w:rPr>
      </w:pPr>
    </w:p>
    <w:p w:rsidR="00227659" w:rsidRDefault="00F235DD" w:rsidP="006D20D2">
      <w:pPr>
        <w:spacing w:line="360" w:lineRule="auto"/>
        <w:ind w:left="567" w:hanging="141"/>
        <w:rPr>
          <w:i/>
          <w:color w:val="000000"/>
          <w:lang w:val="es-MX"/>
        </w:rPr>
      </w:pPr>
      <w:r>
        <w:rPr>
          <w:color w:val="000000"/>
          <w:lang w:val="es-MX"/>
        </w:rPr>
        <w:t>Tabla 7</w:t>
      </w:r>
    </w:p>
    <w:p w:rsidR="00227659" w:rsidRDefault="00F235DD" w:rsidP="006D20D2">
      <w:pPr>
        <w:spacing w:line="360" w:lineRule="auto"/>
        <w:ind w:left="426" w:right="565"/>
        <w:rPr>
          <w:i/>
          <w:color w:val="000000"/>
          <w:lang w:val="es-MX"/>
        </w:rPr>
      </w:pPr>
      <w:r>
        <w:rPr>
          <w:i/>
          <w:color w:val="000000"/>
          <w:lang w:val="es-MX"/>
        </w:rPr>
        <w:t>Expresión del Punto de Vista y Estrategias Argumentativas según el Tipo de Juego y la Edad de los Niños.</w:t>
      </w:r>
    </w:p>
    <w:tbl>
      <w:tblPr>
        <w:tblW w:w="0" w:type="auto"/>
        <w:jc w:val="center"/>
        <w:tblInd w:w="70" w:type="dxa"/>
        <w:tblLayout w:type="fixed"/>
        <w:tblCellMar>
          <w:left w:w="70" w:type="dxa"/>
          <w:right w:w="70" w:type="dxa"/>
        </w:tblCellMar>
        <w:tblLook w:val="0000"/>
      </w:tblPr>
      <w:tblGrid>
        <w:gridCol w:w="998"/>
        <w:gridCol w:w="2126"/>
        <w:gridCol w:w="850"/>
        <w:gridCol w:w="851"/>
        <w:gridCol w:w="1126"/>
        <w:gridCol w:w="1354"/>
        <w:gridCol w:w="780"/>
      </w:tblGrid>
      <w:tr w:rsidR="00E36D18" w:rsidTr="006D20D2">
        <w:trPr>
          <w:trHeight w:val="300"/>
          <w:jc w:val="center"/>
        </w:trPr>
        <w:tc>
          <w:tcPr>
            <w:tcW w:w="998" w:type="dxa"/>
            <w:tcBorders>
              <w:top w:val="single" w:sz="4" w:space="0" w:color="auto"/>
            </w:tcBorders>
            <w:shd w:val="clear" w:color="auto" w:fill="auto"/>
          </w:tcPr>
          <w:p w:rsidR="00E36D18" w:rsidRDefault="00E36D18" w:rsidP="006D20D2">
            <w:pPr>
              <w:snapToGrid w:val="0"/>
              <w:spacing w:line="360" w:lineRule="auto"/>
              <w:jc w:val="center"/>
              <w:rPr>
                <w:color w:val="000000"/>
                <w:sz w:val="20"/>
                <w:szCs w:val="20"/>
                <w:lang w:val="es-MX"/>
              </w:rPr>
            </w:pPr>
            <w:r>
              <w:rPr>
                <w:color w:val="000000"/>
                <w:sz w:val="20"/>
                <w:szCs w:val="20"/>
                <w:lang w:val="es-MX"/>
              </w:rPr>
              <w:t>Edad</w:t>
            </w:r>
          </w:p>
        </w:tc>
        <w:tc>
          <w:tcPr>
            <w:tcW w:w="2126" w:type="dxa"/>
            <w:tcBorders>
              <w:top w:val="single" w:sz="4" w:space="0" w:color="auto"/>
            </w:tcBorders>
            <w:shd w:val="clear" w:color="auto" w:fill="auto"/>
            <w:vAlign w:val="bottom"/>
          </w:tcPr>
          <w:p w:rsidR="00E36D18" w:rsidRDefault="00E36D18" w:rsidP="006D20D2">
            <w:pPr>
              <w:snapToGrid w:val="0"/>
              <w:spacing w:line="360" w:lineRule="auto"/>
              <w:jc w:val="center"/>
              <w:rPr>
                <w:color w:val="000000"/>
                <w:sz w:val="20"/>
                <w:szCs w:val="20"/>
                <w:lang w:val="es-MX"/>
              </w:rPr>
            </w:pPr>
            <w:r>
              <w:rPr>
                <w:color w:val="000000"/>
                <w:sz w:val="20"/>
                <w:szCs w:val="20"/>
                <w:lang w:val="es-MX"/>
              </w:rPr>
              <w:t>Tipo de juego</w:t>
            </w:r>
          </w:p>
        </w:tc>
        <w:tc>
          <w:tcPr>
            <w:tcW w:w="1701" w:type="dxa"/>
            <w:gridSpan w:val="2"/>
            <w:tcBorders>
              <w:top w:val="single" w:sz="4" w:space="0" w:color="auto"/>
              <w:bottom w:val="single" w:sz="4" w:space="0" w:color="000000"/>
            </w:tcBorders>
            <w:shd w:val="clear" w:color="auto" w:fill="auto"/>
            <w:vAlign w:val="bottom"/>
          </w:tcPr>
          <w:p w:rsidR="00E36D18" w:rsidRPr="006D20D2" w:rsidRDefault="00E36D18" w:rsidP="006D20D2">
            <w:pPr>
              <w:spacing w:line="360" w:lineRule="auto"/>
              <w:jc w:val="center"/>
              <w:rPr>
                <w:color w:val="000000"/>
                <w:sz w:val="20"/>
                <w:szCs w:val="20"/>
                <w:lang w:val="es-MX"/>
              </w:rPr>
            </w:pPr>
            <w:r w:rsidRPr="006D20D2">
              <w:rPr>
                <w:color w:val="000000"/>
                <w:sz w:val="20"/>
                <w:szCs w:val="20"/>
                <w:lang w:val="es-MX"/>
              </w:rPr>
              <w:t>Punto de vista</w:t>
            </w:r>
          </w:p>
        </w:tc>
        <w:tc>
          <w:tcPr>
            <w:tcW w:w="2480" w:type="dxa"/>
            <w:gridSpan w:val="2"/>
            <w:tcBorders>
              <w:top w:val="single" w:sz="4" w:space="0" w:color="auto"/>
              <w:bottom w:val="single" w:sz="4" w:space="0" w:color="000000"/>
            </w:tcBorders>
            <w:shd w:val="clear" w:color="auto" w:fill="auto"/>
            <w:vAlign w:val="bottom"/>
          </w:tcPr>
          <w:p w:rsidR="00E36D18" w:rsidRPr="006D20D2" w:rsidRDefault="00E36D18" w:rsidP="006D20D2">
            <w:pPr>
              <w:spacing w:line="360" w:lineRule="auto"/>
              <w:jc w:val="center"/>
              <w:rPr>
                <w:color w:val="000000"/>
                <w:sz w:val="20"/>
                <w:szCs w:val="20"/>
                <w:lang w:val="es-MX"/>
              </w:rPr>
            </w:pPr>
            <w:r w:rsidRPr="006D20D2">
              <w:rPr>
                <w:color w:val="000000"/>
                <w:sz w:val="20"/>
                <w:szCs w:val="20"/>
                <w:lang w:val="es-MX"/>
              </w:rPr>
              <w:t>Estrategias argumentativas</w:t>
            </w:r>
          </w:p>
        </w:tc>
        <w:tc>
          <w:tcPr>
            <w:tcW w:w="780" w:type="dxa"/>
            <w:tcBorders>
              <w:top w:val="single" w:sz="4" w:space="0" w:color="auto"/>
            </w:tcBorders>
            <w:shd w:val="clear" w:color="auto" w:fill="auto"/>
            <w:vAlign w:val="bottom"/>
          </w:tcPr>
          <w:p w:rsidR="00E36D18" w:rsidRPr="006D20D2" w:rsidRDefault="00E36D18" w:rsidP="006D20D2">
            <w:pPr>
              <w:snapToGrid w:val="0"/>
              <w:spacing w:line="360" w:lineRule="auto"/>
              <w:jc w:val="center"/>
              <w:rPr>
                <w:color w:val="000000"/>
                <w:sz w:val="20"/>
                <w:szCs w:val="20"/>
                <w:lang w:val="es-MX"/>
              </w:rPr>
            </w:pPr>
            <w:r w:rsidRPr="006D20D2">
              <w:rPr>
                <w:color w:val="000000"/>
                <w:sz w:val="20"/>
                <w:szCs w:val="20"/>
                <w:lang w:val="es-MX"/>
              </w:rPr>
              <w:t>T</w:t>
            </w:r>
          </w:p>
        </w:tc>
      </w:tr>
      <w:tr w:rsidR="00227659" w:rsidTr="006D20D2">
        <w:trPr>
          <w:trHeight w:val="300"/>
          <w:jc w:val="center"/>
        </w:trPr>
        <w:tc>
          <w:tcPr>
            <w:tcW w:w="998" w:type="dxa"/>
            <w:tcBorders>
              <w:bottom w:val="single" w:sz="4" w:space="0" w:color="auto"/>
            </w:tcBorders>
            <w:shd w:val="clear" w:color="auto" w:fill="auto"/>
          </w:tcPr>
          <w:p w:rsidR="00227659" w:rsidRDefault="00227659" w:rsidP="006D20D2">
            <w:pPr>
              <w:snapToGrid w:val="0"/>
              <w:spacing w:line="360" w:lineRule="auto"/>
              <w:jc w:val="center"/>
              <w:rPr>
                <w:color w:val="000000"/>
                <w:sz w:val="20"/>
                <w:szCs w:val="20"/>
                <w:lang w:val="es-MX"/>
              </w:rPr>
            </w:pPr>
          </w:p>
        </w:tc>
        <w:tc>
          <w:tcPr>
            <w:tcW w:w="2126" w:type="dxa"/>
            <w:tcBorders>
              <w:bottom w:val="single" w:sz="4" w:space="0" w:color="auto"/>
            </w:tcBorders>
            <w:shd w:val="clear" w:color="auto" w:fill="auto"/>
            <w:vAlign w:val="bottom"/>
          </w:tcPr>
          <w:p w:rsidR="00227659" w:rsidRDefault="00227659" w:rsidP="006D20D2">
            <w:pPr>
              <w:snapToGrid w:val="0"/>
              <w:spacing w:line="360" w:lineRule="auto"/>
              <w:jc w:val="center"/>
              <w:rPr>
                <w:color w:val="000000"/>
                <w:sz w:val="20"/>
                <w:szCs w:val="20"/>
                <w:lang w:val="es-MX"/>
              </w:rPr>
            </w:pPr>
          </w:p>
        </w:tc>
        <w:tc>
          <w:tcPr>
            <w:tcW w:w="850"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M</w:t>
            </w:r>
          </w:p>
        </w:tc>
        <w:tc>
          <w:tcPr>
            <w:tcW w:w="851"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DE</w:t>
            </w:r>
          </w:p>
        </w:tc>
        <w:tc>
          <w:tcPr>
            <w:tcW w:w="1126"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M</w:t>
            </w:r>
          </w:p>
        </w:tc>
        <w:tc>
          <w:tcPr>
            <w:tcW w:w="1354"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i/>
                <w:color w:val="000000"/>
                <w:sz w:val="20"/>
                <w:szCs w:val="20"/>
                <w:lang w:val="es-MX"/>
              </w:rPr>
              <w:t>DE</w:t>
            </w:r>
          </w:p>
        </w:tc>
        <w:tc>
          <w:tcPr>
            <w:tcW w:w="780" w:type="dxa"/>
            <w:tcBorders>
              <w:bottom w:val="single" w:sz="4" w:space="0" w:color="auto"/>
            </w:tcBorders>
            <w:shd w:val="clear" w:color="auto" w:fill="auto"/>
            <w:vAlign w:val="bottom"/>
          </w:tcPr>
          <w:p w:rsidR="00227659" w:rsidRDefault="00227659" w:rsidP="006D20D2">
            <w:pPr>
              <w:snapToGrid w:val="0"/>
              <w:spacing w:line="360" w:lineRule="auto"/>
              <w:jc w:val="center"/>
              <w:rPr>
                <w:color w:val="000000"/>
                <w:sz w:val="20"/>
                <w:szCs w:val="20"/>
                <w:lang w:val="es-MX"/>
              </w:rPr>
            </w:pPr>
          </w:p>
        </w:tc>
      </w:tr>
      <w:tr w:rsidR="00227659" w:rsidTr="006D20D2">
        <w:trPr>
          <w:trHeight w:val="300"/>
          <w:jc w:val="center"/>
        </w:trPr>
        <w:tc>
          <w:tcPr>
            <w:tcW w:w="998" w:type="dxa"/>
            <w:vMerge w:val="restart"/>
            <w:tcBorders>
              <w:top w:val="single" w:sz="4" w:space="0" w:color="auto"/>
            </w:tcBorders>
            <w:shd w:val="clear" w:color="auto" w:fill="auto"/>
            <w:vAlign w:val="center"/>
          </w:tcPr>
          <w:p w:rsidR="00227659" w:rsidRDefault="00F235DD" w:rsidP="00F039EB">
            <w:pPr>
              <w:spacing w:line="360" w:lineRule="auto"/>
              <w:ind w:left="5" w:right="335"/>
              <w:rPr>
                <w:color w:val="000000"/>
                <w:sz w:val="20"/>
                <w:szCs w:val="20"/>
                <w:lang w:val="es-MX"/>
              </w:rPr>
            </w:pPr>
            <w:r>
              <w:rPr>
                <w:color w:val="000000"/>
                <w:sz w:val="20"/>
                <w:szCs w:val="20"/>
                <w:lang w:val="es-MX"/>
              </w:rPr>
              <w:t>3 años</w:t>
            </w:r>
          </w:p>
        </w:tc>
        <w:tc>
          <w:tcPr>
            <w:tcW w:w="2126" w:type="dxa"/>
            <w:tcBorders>
              <w:top w:val="single" w:sz="4" w:space="0" w:color="auto"/>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dramático</w:t>
            </w:r>
          </w:p>
        </w:tc>
        <w:tc>
          <w:tcPr>
            <w:tcW w:w="850"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0.85</w:t>
            </w:r>
          </w:p>
        </w:tc>
        <w:tc>
          <w:tcPr>
            <w:tcW w:w="851"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0.93</w:t>
            </w:r>
          </w:p>
        </w:tc>
        <w:tc>
          <w:tcPr>
            <w:tcW w:w="112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1.30</w:t>
            </w:r>
          </w:p>
        </w:tc>
        <w:tc>
          <w:tcPr>
            <w:tcW w:w="1354"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1.63</w:t>
            </w:r>
          </w:p>
        </w:tc>
        <w:tc>
          <w:tcPr>
            <w:tcW w:w="780" w:type="dxa"/>
            <w:tcBorders>
              <w:top w:val="single" w:sz="4" w:space="0" w:color="auto"/>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0.91</w:t>
            </w:r>
          </w:p>
        </w:tc>
      </w:tr>
      <w:tr w:rsidR="00227659" w:rsidTr="006D20D2">
        <w:trPr>
          <w:trHeight w:val="433"/>
          <w:jc w:val="center"/>
        </w:trPr>
        <w:tc>
          <w:tcPr>
            <w:tcW w:w="998" w:type="dxa"/>
            <w:vMerge/>
            <w:shd w:val="clear" w:color="auto" w:fill="auto"/>
            <w:vAlign w:val="center"/>
          </w:tcPr>
          <w:p w:rsidR="00227659" w:rsidRDefault="00227659" w:rsidP="00F039EB">
            <w:pPr>
              <w:snapToGrid w:val="0"/>
              <w:spacing w:line="360" w:lineRule="auto"/>
              <w:rPr>
                <w:color w:val="000000"/>
                <w:sz w:val="20"/>
                <w:szCs w:val="20"/>
                <w:lang w:val="es-MX"/>
              </w:rPr>
            </w:pPr>
          </w:p>
        </w:tc>
        <w:tc>
          <w:tcPr>
            <w:tcW w:w="2126" w:type="dxa"/>
            <w:shd w:val="clear" w:color="auto" w:fill="auto"/>
            <w:vAlign w:val="bottom"/>
          </w:tcPr>
          <w:p w:rsidR="00227659" w:rsidRDefault="00F235DD" w:rsidP="00F039EB">
            <w:pPr>
              <w:spacing w:line="200" w:lineRule="atLeast"/>
              <w:rPr>
                <w:color w:val="000000"/>
                <w:sz w:val="20"/>
                <w:szCs w:val="20"/>
                <w:lang w:val="es-MX"/>
              </w:rPr>
            </w:pPr>
            <w:r>
              <w:rPr>
                <w:color w:val="000000"/>
                <w:sz w:val="20"/>
                <w:szCs w:val="20"/>
                <w:lang w:val="es-MX"/>
              </w:rPr>
              <w:t>Juego de construcción</w:t>
            </w:r>
          </w:p>
        </w:tc>
        <w:tc>
          <w:tcPr>
            <w:tcW w:w="850"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0.76</w:t>
            </w:r>
          </w:p>
        </w:tc>
        <w:tc>
          <w:tcPr>
            <w:tcW w:w="851"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0.83</w:t>
            </w:r>
          </w:p>
        </w:tc>
        <w:tc>
          <w:tcPr>
            <w:tcW w:w="1126"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2.42</w:t>
            </w:r>
          </w:p>
        </w:tc>
        <w:tc>
          <w:tcPr>
            <w:tcW w:w="1354"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2.82</w:t>
            </w:r>
          </w:p>
        </w:tc>
        <w:tc>
          <w:tcPr>
            <w:tcW w:w="780"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2.10</w:t>
            </w:r>
          </w:p>
        </w:tc>
      </w:tr>
      <w:tr w:rsidR="00227659" w:rsidTr="006D20D2">
        <w:trPr>
          <w:trHeight w:val="514"/>
          <w:jc w:val="center"/>
        </w:trPr>
        <w:tc>
          <w:tcPr>
            <w:tcW w:w="998" w:type="dxa"/>
            <w:vMerge w:val="restart"/>
            <w:shd w:val="clear" w:color="auto" w:fill="auto"/>
            <w:vAlign w:val="center"/>
          </w:tcPr>
          <w:p w:rsidR="00227659" w:rsidRDefault="00F235DD" w:rsidP="00F039EB">
            <w:pPr>
              <w:spacing w:line="360" w:lineRule="auto"/>
              <w:rPr>
                <w:color w:val="000000"/>
                <w:sz w:val="20"/>
                <w:szCs w:val="20"/>
                <w:lang w:val="es-MX"/>
              </w:rPr>
            </w:pPr>
            <w:r>
              <w:rPr>
                <w:color w:val="000000"/>
                <w:sz w:val="20"/>
                <w:szCs w:val="20"/>
                <w:lang w:val="es-MX"/>
              </w:rPr>
              <w:t>4 años</w:t>
            </w:r>
          </w:p>
        </w:tc>
        <w:tc>
          <w:tcPr>
            <w:tcW w:w="2126"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dramático</w:t>
            </w:r>
          </w:p>
        </w:tc>
        <w:tc>
          <w:tcPr>
            <w:tcW w:w="85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0.20</w:t>
            </w:r>
          </w:p>
        </w:tc>
        <w:tc>
          <w:tcPr>
            <w:tcW w:w="85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0.45</w:t>
            </w:r>
          </w:p>
        </w:tc>
        <w:tc>
          <w:tcPr>
            <w:tcW w:w="112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3.80</w:t>
            </w:r>
          </w:p>
        </w:tc>
        <w:tc>
          <w:tcPr>
            <w:tcW w:w="1354"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2.49</w:t>
            </w:r>
          </w:p>
        </w:tc>
        <w:tc>
          <w:tcPr>
            <w:tcW w:w="78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3.21*</w:t>
            </w:r>
          </w:p>
        </w:tc>
      </w:tr>
      <w:tr w:rsidR="00227659" w:rsidTr="006D20D2">
        <w:trPr>
          <w:trHeight w:val="423"/>
          <w:jc w:val="center"/>
        </w:trPr>
        <w:tc>
          <w:tcPr>
            <w:tcW w:w="998" w:type="dxa"/>
            <w:vMerge/>
            <w:shd w:val="clear" w:color="auto" w:fill="auto"/>
            <w:vAlign w:val="center"/>
          </w:tcPr>
          <w:p w:rsidR="00227659" w:rsidRDefault="00227659" w:rsidP="00F039EB">
            <w:pPr>
              <w:snapToGrid w:val="0"/>
              <w:spacing w:line="360" w:lineRule="auto"/>
              <w:rPr>
                <w:color w:val="000000"/>
                <w:sz w:val="20"/>
                <w:szCs w:val="20"/>
                <w:lang w:val="es-MX"/>
              </w:rPr>
            </w:pPr>
          </w:p>
        </w:tc>
        <w:tc>
          <w:tcPr>
            <w:tcW w:w="2126" w:type="dxa"/>
            <w:shd w:val="clear" w:color="auto" w:fill="auto"/>
            <w:vAlign w:val="bottom"/>
          </w:tcPr>
          <w:p w:rsidR="00227659" w:rsidRDefault="00F235DD" w:rsidP="00F039EB">
            <w:pPr>
              <w:spacing w:line="200" w:lineRule="atLeast"/>
              <w:rPr>
                <w:color w:val="000000"/>
                <w:sz w:val="20"/>
                <w:szCs w:val="20"/>
                <w:lang w:val="es-MX"/>
              </w:rPr>
            </w:pPr>
            <w:r>
              <w:rPr>
                <w:color w:val="000000"/>
                <w:sz w:val="20"/>
                <w:szCs w:val="20"/>
                <w:lang w:val="es-MX"/>
              </w:rPr>
              <w:t>Juego de construcción</w:t>
            </w:r>
          </w:p>
        </w:tc>
        <w:tc>
          <w:tcPr>
            <w:tcW w:w="850"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0.00</w:t>
            </w:r>
          </w:p>
        </w:tc>
        <w:tc>
          <w:tcPr>
            <w:tcW w:w="851"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0.00</w:t>
            </w:r>
          </w:p>
        </w:tc>
        <w:tc>
          <w:tcPr>
            <w:tcW w:w="1126"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1.33</w:t>
            </w:r>
          </w:p>
        </w:tc>
        <w:tc>
          <w:tcPr>
            <w:tcW w:w="1354"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0.58</w:t>
            </w:r>
          </w:p>
        </w:tc>
        <w:tc>
          <w:tcPr>
            <w:tcW w:w="780"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4.00</w:t>
            </w:r>
          </w:p>
        </w:tc>
      </w:tr>
      <w:tr w:rsidR="00227659" w:rsidTr="006D20D2">
        <w:trPr>
          <w:trHeight w:val="415"/>
          <w:jc w:val="center"/>
        </w:trPr>
        <w:tc>
          <w:tcPr>
            <w:tcW w:w="998" w:type="dxa"/>
            <w:vMerge/>
            <w:shd w:val="clear" w:color="auto" w:fill="auto"/>
            <w:vAlign w:val="center"/>
          </w:tcPr>
          <w:p w:rsidR="00227659" w:rsidRDefault="00227659" w:rsidP="00F039EB">
            <w:pPr>
              <w:snapToGrid w:val="0"/>
              <w:spacing w:line="360" w:lineRule="auto"/>
              <w:rPr>
                <w:color w:val="000000"/>
                <w:sz w:val="20"/>
                <w:szCs w:val="20"/>
                <w:lang w:val="es-MX"/>
              </w:rPr>
            </w:pPr>
          </w:p>
        </w:tc>
        <w:tc>
          <w:tcPr>
            <w:tcW w:w="2126"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de mesa</w:t>
            </w:r>
          </w:p>
        </w:tc>
        <w:tc>
          <w:tcPr>
            <w:tcW w:w="85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0.52</w:t>
            </w:r>
          </w:p>
        </w:tc>
        <w:tc>
          <w:tcPr>
            <w:tcW w:w="85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0.75</w:t>
            </w:r>
          </w:p>
        </w:tc>
        <w:tc>
          <w:tcPr>
            <w:tcW w:w="112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2.00</w:t>
            </w:r>
          </w:p>
        </w:tc>
        <w:tc>
          <w:tcPr>
            <w:tcW w:w="1354"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1.52</w:t>
            </w:r>
          </w:p>
        </w:tc>
        <w:tc>
          <w:tcPr>
            <w:tcW w:w="78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5.25**</w:t>
            </w:r>
          </w:p>
        </w:tc>
      </w:tr>
      <w:tr w:rsidR="00227659" w:rsidTr="006D20D2">
        <w:trPr>
          <w:trHeight w:val="300"/>
          <w:jc w:val="center"/>
        </w:trPr>
        <w:tc>
          <w:tcPr>
            <w:tcW w:w="998" w:type="dxa"/>
            <w:vMerge w:val="restart"/>
            <w:tcBorders>
              <w:bottom w:val="single" w:sz="4" w:space="0" w:color="000000"/>
            </w:tcBorders>
            <w:shd w:val="clear" w:color="auto" w:fill="auto"/>
            <w:vAlign w:val="center"/>
          </w:tcPr>
          <w:p w:rsidR="00227659" w:rsidRDefault="00F235DD" w:rsidP="00F039EB">
            <w:pPr>
              <w:spacing w:line="360" w:lineRule="auto"/>
              <w:rPr>
                <w:color w:val="000000"/>
                <w:sz w:val="20"/>
                <w:szCs w:val="20"/>
                <w:lang w:val="es-MX"/>
              </w:rPr>
            </w:pPr>
            <w:r>
              <w:rPr>
                <w:color w:val="000000"/>
                <w:sz w:val="20"/>
                <w:szCs w:val="20"/>
                <w:lang w:val="es-MX"/>
              </w:rPr>
              <w:t>5 años</w:t>
            </w:r>
          </w:p>
        </w:tc>
        <w:tc>
          <w:tcPr>
            <w:tcW w:w="2126"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dramático</w:t>
            </w:r>
          </w:p>
        </w:tc>
        <w:tc>
          <w:tcPr>
            <w:tcW w:w="85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0.21</w:t>
            </w:r>
          </w:p>
        </w:tc>
        <w:tc>
          <w:tcPr>
            <w:tcW w:w="85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0.54</w:t>
            </w:r>
          </w:p>
        </w:tc>
        <w:tc>
          <w:tcPr>
            <w:tcW w:w="112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3.05</w:t>
            </w:r>
          </w:p>
        </w:tc>
        <w:tc>
          <w:tcPr>
            <w:tcW w:w="1354"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2.37</w:t>
            </w:r>
          </w:p>
        </w:tc>
        <w:tc>
          <w:tcPr>
            <w:tcW w:w="78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4.79**</w:t>
            </w:r>
          </w:p>
        </w:tc>
      </w:tr>
      <w:tr w:rsidR="00227659" w:rsidTr="006D20D2">
        <w:trPr>
          <w:trHeight w:val="300"/>
          <w:jc w:val="center"/>
        </w:trPr>
        <w:tc>
          <w:tcPr>
            <w:tcW w:w="998" w:type="dxa"/>
            <w:vMerge/>
            <w:tcBorders>
              <w:bottom w:val="single" w:sz="4" w:space="0" w:color="000000"/>
            </w:tcBorders>
            <w:shd w:val="clear" w:color="auto" w:fill="auto"/>
          </w:tcPr>
          <w:p w:rsidR="00227659" w:rsidRDefault="00227659" w:rsidP="006D20D2">
            <w:pPr>
              <w:snapToGrid w:val="0"/>
              <w:spacing w:line="360" w:lineRule="auto"/>
              <w:jc w:val="center"/>
              <w:rPr>
                <w:color w:val="000000"/>
                <w:sz w:val="20"/>
                <w:szCs w:val="20"/>
                <w:lang w:val="es-MX"/>
              </w:rPr>
            </w:pPr>
          </w:p>
        </w:tc>
        <w:tc>
          <w:tcPr>
            <w:tcW w:w="2126"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de construcción</w:t>
            </w:r>
          </w:p>
        </w:tc>
        <w:tc>
          <w:tcPr>
            <w:tcW w:w="85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0.60</w:t>
            </w:r>
          </w:p>
        </w:tc>
        <w:tc>
          <w:tcPr>
            <w:tcW w:w="85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0.72</w:t>
            </w:r>
          </w:p>
        </w:tc>
        <w:tc>
          <w:tcPr>
            <w:tcW w:w="112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2.57</w:t>
            </w:r>
          </w:p>
        </w:tc>
        <w:tc>
          <w:tcPr>
            <w:tcW w:w="1354"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3.14</w:t>
            </w:r>
          </w:p>
        </w:tc>
        <w:tc>
          <w:tcPr>
            <w:tcW w:w="78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3.41**</w:t>
            </w:r>
          </w:p>
        </w:tc>
      </w:tr>
      <w:tr w:rsidR="00227659" w:rsidTr="006D20D2">
        <w:trPr>
          <w:trHeight w:val="300"/>
          <w:jc w:val="center"/>
        </w:trPr>
        <w:tc>
          <w:tcPr>
            <w:tcW w:w="998" w:type="dxa"/>
            <w:vMerge/>
            <w:tcBorders>
              <w:bottom w:val="single" w:sz="4" w:space="0" w:color="000000"/>
            </w:tcBorders>
            <w:shd w:val="clear" w:color="auto" w:fill="auto"/>
          </w:tcPr>
          <w:p w:rsidR="00227659" w:rsidRDefault="00227659" w:rsidP="006D20D2">
            <w:pPr>
              <w:snapToGrid w:val="0"/>
              <w:spacing w:line="360" w:lineRule="auto"/>
              <w:jc w:val="center"/>
              <w:rPr>
                <w:color w:val="000000"/>
                <w:sz w:val="20"/>
                <w:szCs w:val="20"/>
                <w:lang w:val="es-MX"/>
              </w:rPr>
            </w:pPr>
          </w:p>
        </w:tc>
        <w:tc>
          <w:tcPr>
            <w:tcW w:w="2126" w:type="dxa"/>
            <w:tcBorders>
              <w:bottom w:val="single" w:sz="4" w:space="0" w:color="000000"/>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de mesa</w:t>
            </w:r>
          </w:p>
        </w:tc>
        <w:tc>
          <w:tcPr>
            <w:tcW w:w="850"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0.69</w:t>
            </w:r>
          </w:p>
        </w:tc>
        <w:tc>
          <w:tcPr>
            <w:tcW w:w="851"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1.03</w:t>
            </w:r>
          </w:p>
        </w:tc>
        <w:tc>
          <w:tcPr>
            <w:tcW w:w="1126"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1.85</w:t>
            </w:r>
          </w:p>
        </w:tc>
        <w:tc>
          <w:tcPr>
            <w:tcW w:w="1354"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1.35</w:t>
            </w:r>
          </w:p>
        </w:tc>
        <w:tc>
          <w:tcPr>
            <w:tcW w:w="780" w:type="dxa"/>
            <w:tcBorders>
              <w:bottom w:val="single" w:sz="4" w:space="0" w:color="000000"/>
            </w:tcBorders>
            <w:shd w:val="clear" w:color="auto" w:fill="auto"/>
            <w:vAlign w:val="bottom"/>
          </w:tcPr>
          <w:p w:rsidR="00227659" w:rsidRDefault="00F235DD" w:rsidP="006D20D2">
            <w:pPr>
              <w:spacing w:line="360" w:lineRule="auto"/>
              <w:jc w:val="center"/>
              <w:rPr>
                <w:color w:val="000000"/>
                <w:sz w:val="18"/>
                <w:szCs w:val="18"/>
                <w:lang w:val="es-MX"/>
              </w:rPr>
            </w:pPr>
            <w:r>
              <w:rPr>
                <w:color w:val="000000"/>
                <w:sz w:val="20"/>
                <w:szCs w:val="20"/>
                <w:lang w:val="es-MX"/>
              </w:rPr>
              <w:t>2.48*</w:t>
            </w:r>
          </w:p>
        </w:tc>
      </w:tr>
    </w:tbl>
    <w:p w:rsidR="00632490" w:rsidRPr="00F21DCE" w:rsidRDefault="00632490" w:rsidP="00632490">
      <w:pPr>
        <w:spacing w:line="360" w:lineRule="auto"/>
        <w:ind w:left="426" w:firstLine="141"/>
        <w:jc w:val="both"/>
        <w:rPr>
          <w:color w:val="000000"/>
          <w:sz w:val="18"/>
          <w:szCs w:val="18"/>
        </w:rPr>
      </w:pPr>
      <w:r w:rsidRPr="00F21DCE">
        <w:rPr>
          <w:i/>
          <w:color w:val="000000"/>
          <w:sz w:val="18"/>
          <w:szCs w:val="18"/>
        </w:rPr>
        <w:lastRenderedPageBreak/>
        <w:t>Nota</w:t>
      </w:r>
      <w:r>
        <w:rPr>
          <w:i/>
          <w:color w:val="000000"/>
          <w:sz w:val="18"/>
          <w:szCs w:val="18"/>
        </w:rPr>
        <w:t xml:space="preserve">. </w:t>
      </w:r>
      <w:r>
        <w:rPr>
          <w:color w:val="000000"/>
          <w:sz w:val="18"/>
          <w:szCs w:val="18"/>
        </w:rPr>
        <w:t>M, Media; DE, Desvío Estándar.</w:t>
      </w:r>
    </w:p>
    <w:p w:rsidR="00227659" w:rsidRDefault="00780573">
      <w:pPr>
        <w:spacing w:line="360" w:lineRule="auto"/>
        <w:rPr>
          <w:color w:val="000000"/>
          <w:sz w:val="20"/>
          <w:szCs w:val="20"/>
          <w:lang w:val="es-MX"/>
        </w:rPr>
      </w:pPr>
      <w:r>
        <w:rPr>
          <w:color w:val="000000"/>
          <w:sz w:val="18"/>
          <w:szCs w:val="18"/>
          <w:lang w:val="es-MX"/>
        </w:rPr>
        <w:t xml:space="preserve">      </w:t>
      </w:r>
      <w:r w:rsidR="00632490">
        <w:rPr>
          <w:color w:val="000000"/>
          <w:sz w:val="18"/>
          <w:szCs w:val="18"/>
          <w:lang w:val="es-MX"/>
        </w:rPr>
        <w:t xml:space="preserve">     </w:t>
      </w:r>
      <w:r w:rsidR="00F235DD" w:rsidRPr="00632490">
        <w:rPr>
          <w:i/>
          <w:color w:val="000000"/>
          <w:sz w:val="18"/>
          <w:szCs w:val="18"/>
          <w:lang w:val="es-MX"/>
        </w:rPr>
        <w:t>** p</w:t>
      </w:r>
      <w:r w:rsidR="00F235DD">
        <w:rPr>
          <w:color w:val="000000"/>
          <w:sz w:val="18"/>
          <w:szCs w:val="18"/>
          <w:lang w:val="es-MX"/>
        </w:rPr>
        <w:t xml:space="preserve"> &lt; .01, </w:t>
      </w:r>
      <w:r w:rsidR="00F235DD" w:rsidRPr="00632490">
        <w:rPr>
          <w:i/>
          <w:color w:val="000000"/>
          <w:sz w:val="18"/>
          <w:szCs w:val="18"/>
          <w:lang w:val="es-MX"/>
        </w:rPr>
        <w:t>* p</w:t>
      </w:r>
      <w:r w:rsidR="00F235DD">
        <w:rPr>
          <w:color w:val="000000"/>
          <w:sz w:val="18"/>
          <w:szCs w:val="18"/>
          <w:lang w:val="es-MX"/>
        </w:rPr>
        <w:t xml:space="preserve"> &lt; .05</w:t>
      </w:r>
    </w:p>
    <w:p w:rsidR="00227659" w:rsidRDefault="00227659">
      <w:pPr>
        <w:spacing w:line="360" w:lineRule="auto"/>
        <w:rPr>
          <w:color w:val="000000"/>
          <w:sz w:val="20"/>
          <w:szCs w:val="20"/>
          <w:lang w:val="es-MX"/>
        </w:rPr>
      </w:pPr>
    </w:p>
    <w:p w:rsidR="00227659" w:rsidRDefault="00F235DD">
      <w:pPr>
        <w:spacing w:line="480" w:lineRule="auto"/>
        <w:jc w:val="both"/>
        <w:rPr>
          <w:color w:val="000000"/>
          <w:lang w:val="es-MX"/>
        </w:rPr>
      </w:pPr>
      <w:r>
        <w:rPr>
          <w:color w:val="000000"/>
          <w:lang w:val="es-MX"/>
        </w:rPr>
        <w:t>El análisis realizado muestra diferencias entre los grupos de edad.  En efecto, a los 3 años, no hay diferencias entre la simple expresión del punto de vista y el uso de estrategias argumentativas tanto en el juego dramático (</w:t>
      </w:r>
      <w:r>
        <w:rPr>
          <w:i/>
          <w:color w:val="000000"/>
          <w:lang w:val="es-MX"/>
        </w:rPr>
        <w:t>t</w:t>
      </w:r>
      <w:r>
        <w:rPr>
          <w:color w:val="000000"/>
          <w:vertAlign w:val="subscript"/>
          <w:lang w:val="es-MX"/>
        </w:rPr>
        <w:t>(19)</w:t>
      </w:r>
      <w:r>
        <w:rPr>
          <w:color w:val="000000"/>
          <w:lang w:val="es-MX"/>
        </w:rPr>
        <w:t xml:space="preserve"> = 0.91, </w:t>
      </w:r>
      <w:r>
        <w:rPr>
          <w:i/>
          <w:color w:val="000000"/>
          <w:lang w:val="es-MX"/>
        </w:rPr>
        <w:t>SE</w:t>
      </w:r>
      <w:r>
        <w:rPr>
          <w:color w:val="000000"/>
          <w:lang w:val="es-MX"/>
        </w:rPr>
        <w:t xml:space="preserve"> = 0.50, </w:t>
      </w:r>
      <w:r>
        <w:rPr>
          <w:i/>
          <w:color w:val="000000"/>
          <w:lang w:val="es-MX"/>
        </w:rPr>
        <w:t>p</w:t>
      </w:r>
      <w:r>
        <w:rPr>
          <w:color w:val="000000"/>
          <w:lang w:val="es-MX"/>
        </w:rPr>
        <w:t xml:space="preserve"> = .37) como en el juego de construcción (</w:t>
      </w:r>
      <w:r>
        <w:rPr>
          <w:i/>
          <w:color w:val="000000"/>
          <w:lang w:val="es-MX"/>
        </w:rPr>
        <w:t>t</w:t>
      </w:r>
      <w:r>
        <w:rPr>
          <w:color w:val="000000"/>
          <w:vertAlign w:val="subscript"/>
          <w:lang w:val="es-MX"/>
        </w:rPr>
        <w:t>(11)</w:t>
      </w:r>
      <w:r>
        <w:rPr>
          <w:color w:val="000000"/>
          <w:lang w:val="es-MX"/>
        </w:rPr>
        <w:t xml:space="preserve"> = 2.10, </w:t>
      </w:r>
      <w:r>
        <w:rPr>
          <w:i/>
          <w:color w:val="000000"/>
          <w:lang w:val="es-MX"/>
        </w:rPr>
        <w:t>SE</w:t>
      </w:r>
      <w:r>
        <w:rPr>
          <w:color w:val="000000"/>
          <w:lang w:val="es-MX"/>
        </w:rPr>
        <w:t xml:space="preserve"> = 0.48, </w:t>
      </w:r>
      <w:r>
        <w:rPr>
          <w:i/>
          <w:color w:val="000000"/>
          <w:lang w:val="es-MX"/>
        </w:rPr>
        <w:t>p</w:t>
      </w:r>
      <w:r>
        <w:rPr>
          <w:color w:val="000000"/>
          <w:lang w:val="es-MX"/>
        </w:rPr>
        <w:t xml:space="preserve"> = .06).  A los 4 años, en cambio, el análisis detecta diferencias significativas entre la expresión del punto de vista y el uso de estrategias argumentativas en juego dramático (</w:t>
      </w:r>
      <w:r>
        <w:rPr>
          <w:i/>
          <w:color w:val="000000"/>
          <w:lang w:val="es-MX"/>
        </w:rPr>
        <w:t>t</w:t>
      </w:r>
      <w:r>
        <w:rPr>
          <w:color w:val="000000"/>
          <w:vertAlign w:val="subscript"/>
          <w:lang w:val="es-MX"/>
        </w:rPr>
        <w:t>(4)</w:t>
      </w:r>
      <w:r>
        <w:rPr>
          <w:color w:val="000000"/>
          <w:lang w:val="es-MX"/>
        </w:rPr>
        <w:t xml:space="preserve"> = 3.21, </w:t>
      </w:r>
      <w:r>
        <w:rPr>
          <w:i/>
          <w:color w:val="000000"/>
          <w:lang w:val="es-MX"/>
        </w:rPr>
        <w:t>SE</w:t>
      </w:r>
      <w:r>
        <w:rPr>
          <w:color w:val="000000"/>
          <w:lang w:val="es-MX"/>
        </w:rPr>
        <w:t xml:space="preserve"> = 1.12, </w:t>
      </w:r>
      <w:r>
        <w:rPr>
          <w:i/>
          <w:color w:val="000000"/>
          <w:lang w:val="es-MX"/>
        </w:rPr>
        <w:t>p</w:t>
      </w:r>
      <w:r>
        <w:rPr>
          <w:color w:val="000000"/>
          <w:lang w:val="es-MX"/>
        </w:rPr>
        <w:t xml:space="preserve"> &lt; .05) y en el juego de mesa (</w:t>
      </w:r>
      <w:r>
        <w:rPr>
          <w:i/>
          <w:color w:val="000000"/>
          <w:lang w:val="es-MX"/>
        </w:rPr>
        <w:t>t</w:t>
      </w:r>
      <w:r>
        <w:rPr>
          <w:color w:val="000000"/>
          <w:vertAlign w:val="subscript"/>
          <w:lang w:val="es-MX"/>
        </w:rPr>
        <w:t>(20)</w:t>
      </w:r>
      <w:r>
        <w:rPr>
          <w:color w:val="000000"/>
          <w:lang w:val="es-MX"/>
        </w:rPr>
        <w:t xml:space="preserve"> = 5.25, </w:t>
      </w:r>
      <w:r>
        <w:rPr>
          <w:i/>
          <w:color w:val="000000"/>
          <w:lang w:val="es-MX"/>
        </w:rPr>
        <w:t>SE</w:t>
      </w:r>
      <w:r>
        <w:rPr>
          <w:color w:val="000000"/>
          <w:lang w:val="es-MX"/>
        </w:rPr>
        <w:t xml:space="preserve"> = 0.28, </w:t>
      </w:r>
      <w:r>
        <w:rPr>
          <w:i/>
          <w:color w:val="000000"/>
          <w:lang w:val="es-MX"/>
        </w:rPr>
        <w:t>p</w:t>
      </w:r>
      <w:r>
        <w:rPr>
          <w:color w:val="000000"/>
          <w:lang w:val="es-MX"/>
        </w:rPr>
        <w:t xml:space="preserve"> &lt; .001).  Por su parte, las diferencias observadas en el juego de construcción no son estadísticamente significativas (</w:t>
      </w:r>
      <w:r>
        <w:rPr>
          <w:i/>
          <w:color w:val="000000"/>
          <w:lang w:val="es-MX"/>
        </w:rPr>
        <w:t>t</w:t>
      </w:r>
      <w:r>
        <w:rPr>
          <w:color w:val="000000"/>
          <w:vertAlign w:val="subscript"/>
          <w:lang w:val="es-MX"/>
        </w:rPr>
        <w:t>(2)</w:t>
      </w:r>
      <w:r>
        <w:rPr>
          <w:color w:val="000000"/>
          <w:lang w:val="es-MX"/>
        </w:rPr>
        <w:t xml:space="preserve"> = 4.00, </w:t>
      </w:r>
      <w:r>
        <w:rPr>
          <w:i/>
          <w:color w:val="000000"/>
          <w:lang w:val="es-MX"/>
        </w:rPr>
        <w:t>SE</w:t>
      </w:r>
      <w:r>
        <w:rPr>
          <w:color w:val="000000"/>
          <w:lang w:val="es-MX"/>
        </w:rPr>
        <w:t xml:space="preserve"> = 0.33, </w:t>
      </w:r>
      <w:r>
        <w:rPr>
          <w:i/>
          <w:color w:val="000000"/>
          <w:lang w:val="es-MX"/>
        </w:rPr>
        <w:t>p</w:t>
      </w:r>
      <w:r>
        <w:rPr>
          <w:color w:val="000000"/>
          <w:lang w:val="es-MX"/>
        </w:rPr>
        <w:t xml:space="preserve"> = .06), lo cual podría atribuirse al reducido tamaño de la muestra considerada.</w:t>
      </w:r>
    </w:p>
    <w:p w:rsidR="00227659" w:rsidRDefault="00F235DD">
      <w:pPr>
        <w:spacing w:line="480" w:lineRule="auto"/>
        <w:ind w:firstLine="708"/>
        <w:jc w:val="both"/>
        <w:rPr>
          <w:rStyle w:val="apple-converted-space"/>
          <w:color w:val="000000"/>
        </w:rPr>
      </w:pPr>
      <w:r>
        <w:rPr>
          <w:color w:val="000000"/>
          <w:lang w:val="es-MX"/>
        </w:rPr>
        <w:t>En las disputas registradas entre los niños de 5 años, el análisis detecta diferencias significativas en las situaciones de juego dramático (</w:t>
      </w:r>
      <w:r>
        <w:rPr>
          <w:i/>
          <w:color w:val="000000"/>
          <w:lang w:val="es-MX"/>
        </w:rPr>
        <w:t>t</w:t>
      </w:r>
      <w:r>
        <w:rPr>
          <w:color w:val="000000"/>
          <w:vertAlign w:val="subscript"/>
          <w:lang w:val="es-MX"/>
        </w:rPr>
        <w:t>(18)</w:t>
      </w:r>
      <w:r>
        <w:rPr>
          <w:color w:val="000000"/>
          <w:lang w:val="es-MX"/>
        </w:rPr>
        <w:t xml:space="preserve"> = 4.79, </w:t>
      </w:r>
      <w:r>
        <w:rPr>
          <w:i/>
          <w:color w:val="000000"/>
          <w:lang w:val="es-MX"/>
        </w:rPr>
        <w:t>SE</w:t>
      </w:r>
      <w:r>
        <w:rPr>
          <w:color w:val="000000"/>
          <w:lang w:val="es-MX"/>
        </w:rPr>
        <w:t xml:space="preserve"> = 0.59, </w:t>
      </w:r>
      <w:r>
        <w:rPr>
          <w:i/>
          <w:color w:val="000000"/>
          <w:lang w:val="es-MX"/>
        </w:rPr>
        <w:t>p</w:t>
      </w:r>
      <w:r>
        <w:rPr>
          <w:color w:val="000000"/>
          <w:lang w:val="es-MX"/>
        </w:rPr>
        <w:t xml:space="preserve"> &lt; .001), también en las de juego de construcción (</w:t>
      </w:r>
      <w:r>
        <w:rPr>
          <w:i/>
          <w:color w:val="000000"/>
          <w:lang w:val="es-MX"/>
        </w:rPr>
        <w:t>t</w:t>
      </w:r>
      <w:r>
        <w:rPr>
          <w:color w:val="000000"/>
          <w:vertAlign w:val="subscript"/>
          <w:lang w:val="es-MX"/>
        </w:rPr>
        <w:t>(29)</w:t>
      </w:r>
      <w:r>
        <w:rPr>
          <w:color w:val="000000"/>
          <w:lang w:val="es-MX"/>
        </w:rPr>
        <w:t xml:space="preserve"> = 3.41, </w:t>
      </w:r>
      <w:r>
        <w:rPr>
          <w:i/>
          <w:color w:val="000000"/>
          <w:lang w:val="es-MX"/>
        </w:rPr>
        <w:t>SE</w:t>
      </w:r>
      <w:r>
        <w:rPr>
          <w:color w:val="000000"/>
          <w:lang w:val="es-MX"/>
        </w:rPr>
        <w:t xml:space="preserve"> = 0.58, </w:t>
      </w:r>
      <w:r>
        <w:rPr>
          <w:i/>
          <w:color w:val="000000"/>
          <w:lang w:val="es-MX"/>
        </w:rPr>
        <w:t>p</w:t>
      </w:r>
      <w:r>
        <w:rPr>
          <w:color w:val="000000"/>
          <w:lang w:val="es-MX"/>
        </w:rPr>
        <w:t xml:space="preserve"> &lt; .01) y en las de juego de mesa (</w:t>
      </w:r>
      <w:r>
        <w:rPr>
          <w:i/>
          <w:color w:val="000000"/>
          <w:lang w:val="es-MX"/>
        </w:rPr>
        <w:t>t</w:t>
      </w:r>
      <w:r>
        <w:rPr>
          <w:color w:val="000000"/>
          <w:vertAlign w:val="subscript"/>
          <w:lang w:val="es-MX"/>
        </w:rPr>
        <w:t>(12)</w:t>
      </w:r>
      <w:r>
        <w:rPr>
          <w:color w:val="000000"/>
          <w:lang w:val="es-MX"/>
        </w:rPr>
        <w:t xml:space="preserve"> = 2.48, </w:t>
      </w:r>
      <w:r>
        <w:rPr>
          <w:i/>
          <w:color w:val="000000"/>
          <w:lang w:val="es-MX"/>
        </w:rPr>
        <w:t>SE</w:t>
      </w:r>
      <w:r>
        <w:rPr>
          <w:color w:val="000000"/>
          <w:lang w:val="es-MX"/>
        </w:rPr>
        <w:t xml:space="preserve"> = 0.47, </w:t>
      </w:r>
      <w:r>
        <w:rPr>
          <w:i/>
          <w:color w:val="000000"/>
          <w:lang w:val="es-MX"/>
        </w:rPr>
        <w:t>p</w:t>
      </w:r>
      <w:r>
        <w:rPr>
          <w:color w:val="000000"/>
          <w:lang w:val="es-MX"/>
        </w:rPr>
        <w:t xml:space="preserve"> &lt; .05).  </w:t>
      </w:r>
    </w:p>
    <w:p w:rsidR="00227659" w:rsidRDefault="00F235DD">
      <w:pPr>
        <w:spacing w:line="480" w:lineRule="auto"/>
        <w:ind w:firstLine="708"/>
        <w:jc w:val="both"/>
        <w:rPr>
          <w:rStyle w:val="apple-converted-space"/>
          <w:color w:val="000000"/>
        </w:rPr>
      </w:pPr>
      <w:r>
        <w:rPr>
          <w:rStyle w:val="apple-converted-space"/>
          <w:color w:val="000000"/>
        </w:rPr>
        <w:t xml:space="preserve">Por otra parte, el análisis también contempló si se registraban diferencias en el uso de ciertos recursos lingüísticos </w:t>
      </w:r>
      <w:r>
        <w:rPr>
          <w:rStyle w:val="apple-converted-space"/>
          <w:i/>
          <w:iCs/>
          <w:color w:val="000000"/>
        </w:rPr>
        <w:t xml:space="preserve">pero, porque, no, tampoco, sí, también y distintas formas de obligación.  </w:t>
      </w:r>
      <w:r>
        <w:rPr>
          <w:color w:val="000000"/>
          <w:lang w:val="es-MX"/>
        </w:rPr>
        <w:t xml:space="preserve">En la Tabla 8 pueden observarse los estadísticos descriptivos, las medias de los recursos lingüísticos empleados por los niños en cada edad, y el resultado del análisis de varianza.  </w:t>
      </w:r>
    </w:p>
    <w:p w:rsidR="00227659" w:rsidRDefault="00F235DD">
      <w:pPr>
        <w:spacing w:line="360" w:lineRule="auto"/>
        <w:ind w:firstLine="708"/>
        <w:rPr>
          <w:rStyle w:val="apple-converted-space"/>
          <w:color w:val="000000"/>
          <w:lang w:val="es-MX"/>
        </w:rPr>
      </w:pPr>
      <w:r>
        <w:rPr>
          <w:rStyle w:val="apple-converted-space"/>
          <w:color w:val="000000"/>
        </w:rPr>
        <w:t xml:space="preserve"> </w:t>
      </w:r>
    </w:p>
    <w:p w:rsidR="00227659" w:rsidRDefault="00F235DD">
      <w:pPr>
        <w:spacing w:line="360" w:lineRule="auto"/>
        <w:ind w:left="567"/>
        <w:rPr>
          <w:rStyle w:val="apple-converted-space"/>
          <w:i/>
          <w:color w:val="000000"/>
          <w:lang w:val="es-MX"/>
        </w:rPr>
      </w:pPr>
      <w:r>
        <w:rPr>
          <w:rStyle w:val="apple-converted-space"/>
          <w:color w:val="000000"/>
          <w:lang w:val="es-MX"/>
        </w:rPr>
        <w:t>Tabla 8</w:t>
      </w:r>
    </w:p>
    <w:p w:rsidR="00227659" w:rsidRDefault="00F235DD">
      <w:pPr>
        <w:spacing w:line="360" w:lineRule="auto"/>
        <w:ind w:left="567" w:right="565"/>
        <w:rPr>
          <w:sz w:val="20"/>
          <w:szCs w:val="20"/>
        </w:rPr>
      </w:pPr>
      <w:r>
        <w:rPr>
          <w:rStyle w:val="apple-converted-space"/>
          <w:i/>
          <w:color w:val="000000"/>
          <w:lang w:val="es-MX"/>
        </w:rPr>
        <w:t xml:space="preserve"> Recursos Lingüísticos Empleados en las Disputas en Función de la Edad de los Niños.</w:t>
      </w:r>
    </w:p>
    <w:tbl>
      <w:tblPr>
        <w:tblW w:w="0" w:type="auto"/>
        <w:jc w:val="center"/>
        <w:tblLayout w:type="fixed"/>
        <w:tblCellMar>
          <w:left w:w="0" w:type="dxa"/>
          <w:right w:w="0" w:type="dxa"/>
        </w:tblCellMar>
        <w:tblLook w:val="0000"/>
      </w:tblPr>
      <w:tblGrid>
        <w:gridCol w:w="2654"/>
        <w:gridCol w:w="761"/>
        <w:gridCol w:w="647"/>
        <w:gridCol w:w="646"/>
        <w:gridCol w:w="646"/>
        <w:gridCol w:w="646"/>
        <w:gridCol w:w="646"/>
        <w:gridCol w:w="1212"/>
      </w:tblGrid>
      <w:tr w:rsidR="00227659" w:rsidTr="00F56F21">
        <w:trPr>
          <w:trHeight w:val="300"/>
          <w:jc w:val="center"/>
        </w:trPr>
        <w:tc>
          <w:tcPr>
            <w:tcW w:w="2654" w:type="dxa"/>
            <w:tcBorders>
              <w:top w:val="single" w:sz="4" w:space="0" w:color="auto"/>
            </w:tcBorders>
            <w:shd w:val="clear" w:color="auto" w:fill="auto"/>
            <w:vAlign w:val="bottom"/>
          </w:tcPr>
          <w:p w:rsidR="00227659" w:rsidRDefault="00F56F21" w:rsidP="006D20D2">
            <w:pPr>
              <w:snapToGrid w:val="0"/>
              <w:spacing w:line="360" w:lineRule="auto"/>
              <w:jc w:val="center"/>
              <w:rPr>
                <w:sz w:val="20"/>
                <w:szCs w:val="20"/>
              </w:rPr>
            </w:pPr>
            <w:r>
              <w:rPr>
                <w:color w:val="000000"/>
                <w:sz w:val="20"/>
                <w:szCs w:val="20"/>
                <w:lang w:val="es-MX"/>
              </w:rPr>
              <w:t>Recursos lingüísticos</w:t>
            </w:r>
          </w:p>
        </w:tc>
        <w:tc>
          <w:tcPr>
            <w:tcW w:w="1408" w:type="dxa"/>
            <w:gridSpan w:val="2"/>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 años</w:t>
            </w:r>
          </w:p>
        </w:tc>
        <w:tc>
          <w:tcPr>
            <w:tcW w:w="1292" w:type="dxa"/>
            <w:gridSpan w:val="2"/>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4 años</w:t>
            </w:r>
          </w:p>
        </w:tc>
        <w:tc>
          <w:tcPr>
            <w:tcW w:w="1292" w:type="dxa"/>
            <w:gridSpan w:val="2"/>
            <w:tcBorders>
              <w:top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color w:val="000000"/>
                <w:sz w:val="20"/>
                <w:szCs w:val="20"/>
                <w:lang w:val="es-MX"/>
              </w:rPr>
              <w:t>5 años</w:t>
            </w:r>
          </w:p>
        </w:tc>
        <w:tc>
          <w:tcPr>
            <w:tcW w:w="1212" w:type="dxa"/>
            <w:vMerge w:val="restart"/>
            <w:tcBorders>
              <w:top w:val="single" w:sz="4" w:space="0" w:color="000000"/>
            </w:tcBorders>
            <w:shd w:val="clear" w:color="auto" w:fill="auto"/>
            <w:vAlign w:val="center"/>
          </w:tcPr>
          <w:p w:rsidR="00227659" w:rsidRDefault="00F235DD" w:rsidP="006D20D2">
            <w:pPr>
              <w:spacing w:line="360" w:lineRule="auto"/>
              <w:ind w:right="-23"/>
              <w:jc w:val="center"/>
              <w:rPr>
                <w:color w:val="000000"/>
                <w:sz w:val="20"/>
                <w:szCs w:val="20"/>
                <w:lang w:val="es-MX"/>
              </w:rPr>
            </w:pPr>
            <w:r>
              <w:rPr>
                <w:i/>
                <w:color w:val="000000"/>
                <w:sz w:val="20"/>
                <w:szCs w:val="20"/>
                <w:lang w:val="es-MX"/>
              </w:rPr>
              <w:t>F</w:t>
            </w:r>
            <w:r>
              <w:rPr>
                <w:color w:val="000000"/>
                <w:sz w:val="20"/>
                <w:szCs w:val="20"/>
                <w:vertAlign w:val="subscript"/>
                <w:lang w:val="es-MX"/>
              </w:rPr>
              <w:t>(2, 121)</w:t>
            </w:r>
          </w:p>
        </w:tc>
      </w:tr>
      <w:tr w:rsidR="00227659" w:rsidTr="00F56F21">
        <w:trPr>
          <w:trHeight w:val="300"/>
          <w:jc w:val="center"/>
        </w:trPr>
        <w:tc>
          <w:tcPr>
            <w:tcW w:w="2654" w:type="dxa"/>
            <w:tcBorders>
              <w:bottom w:val="single" w:sz="4" w:space="0" w:color="auto"/>
            </w:tcBorders>
            <w:shd w:val="clear" w:color="auto" w:fill="auto"/>
            <w:vAlign w:val="bottom"/>
          </w:tcPr>
          <w:p w:rsidR="00227659" w:rsidRDefault="00227659" w:rsidP="006D20D2">
            <w:pPr>
              <w:snapToGrid w:val="0"/>
              <w:spacing w:line="360" w:lineRule="auto"/>
              <w:jc w:val="center"/>
              <w:rPr>
                <w:i/>
                <w:color w:val="000000"/>
                <w:sz w:val="20"/>
                <w:szCs w:val="20"/>
                <w:lang w:val="es-MX"/>
              </w:rPr>
            </w:pPr>
          </w:p>
        </w:tc>
        <w:tc>
          <w:tcPr>
            <w:tcW w:w="761"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M</w:t>
            </w:r>
          </w:p>
        </w:tc>
        <w:tc>
          <w:tcPr>
            <w:tcW w:w="647"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DE</w:t>
            </w:r>
          </w:p>
        </w:tc>
        <w:tc>
          <w:tcPr>
            <w:tcW w:w="646"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M</w:t>
            </w:r>
          </w:p>
        </w:tc>
        <w:tc>
          <w:tcPr>
            <w:tcW w:w="646"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DE</w:t>
            </w:r>
          </w:p>
        </w:tc>
        <w:tc>
          <w:tcPr>
            <w:tcW w:w="646"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M</w:t>
            </w:r>
          </w:p>
        </w:tc>
        <w:tc>
          <w:tcPr>
            <w:tcW w:w="646"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i/>
                <w:color w:val="000000"/>
                <w:sz w:val="20"/>
                <w:szCs w:val="20"/>
                <w:lang w:val="es-MX"/>
              </w:rPr>
              <w:t>DE</w:t>
            </w:r>
          </w:p>
        </w:tc>
        <w:tc>
          <w:tcPr>
            <w:tcW w:w="1212" w:type="dxa"/>
            <w:vMerge/>
            <w:tcBorders>
              <w:bottom w:val="single" w:sz="4" w:space="0" w:color="000000"/>
            </w:tcBorders>
            <w:shd w:val="clear" w:color="auto" w:fill="auto"/>
            <w:vAlign w:val="bottom"/>
          </w:tcPr>
          <w:p w:rsidR="00227659" w:rsidRDefault="00227659" w:rsidP="006D20D2">
            <w:pPr>
              <w:snapToGrid w:val="0"/>
              <w:spacing w:line="360" w:lineRule="auto"/>
              <w:jc w:val="center"/>
              <w:rPr>
                <w:color w:val="000000"/>
                <w:sz w:val="20"/>
                <w:szCs w:val="20"/>
                <w:lang w:val="es-MX"/>
              </w:rPr>
            </w:pPr>
          </w:p>
        </w:tc>
      </w:tr>
      <w:tr w:rsidR="00227659" w:rsidTr="00F56F21">
        <w:tblPrEx>
          <w:tblCellMar>
            <w:left w:w="70" w:type="dxa"/>
            <w:right w:w="70" w:type="dxa"/>
          </w:tblCellMar>
        </w:tblPrEx>
        <w:trPr>
          <w:trHeight w:val="300"/>
          <w:jc w:val="center"/>
        </w:trPr>
        <w:tc>
          <w:tcPr>
            <w:tcW w:w="2654" w:type="dxa"/>
            <w:tcBorders>
              <w:top w:val="single" w:sz="4" w:space="0" w:color="auto"/>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Pero</w:t>
            </w:r>
          </w:p>
        </w:tc>
        <w:tc>
          <w:tcPr>
            <w:tcW w:w="761"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.03</w:t>
            </w:r>
          </w:p>
        </w:tc>
        <w:tc>
          <w:tcPr>
            <w:tcW w:w="647"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w:t>
            </w:r>
          </w:p>
        </w:tc>
        <w:tc>
          <w:tcPr>
            <w:tcW w:w="646"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.17</w:t>
            </w:r>
          </w:p>
        </w:tc>
        <w:tc>
          <w:tcPr>
            <w:tcW w:w="646"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.47</w:t>
            </w:r>
          </w:p>
        </w:tc>
        <w:tc>
          <w:tcPr>
            <w:tcW w:w="646"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.24</w:t>
            </w:r>
          </w:p>
        </w:tc>
        <w:tc>
          <w:tcPr>
            <w:tcW w:w="646"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.59</w:t>
            </w:r>
          </w:p>
        </w:tc>
        <w:tc>
          <w:tcPr>
            <w:tcW w:w="1212"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1.93</w:t>
            </w:r>
          </w:p>
        </w:tc>
      </w:tr>
      <w:tr w:rsidR="00227659" w:rsidTr="00F56F21">
        <w:tblPrEx>
          <w:tblCellMar>
            <w:left w:w="70" w:type="dxa"/>
            <w:right w:w="70" w:type="dxa"/>
          </w:tblCellMar>
        </w:tblPrEx>
        <w:trPr>
          <w:trHeight w:val="300"/>
          <w:jc w:val="center"/>
        </w:trPr>
        <w:tc>
          <w:tcPr>
            <w:tcW w:w="2654"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Porque</w:t>
            </w:r>
          </w:p>
        </w:tc>
        <w:tc>
          <w:tcPr>
            <w:tcW w:w="76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.09</w:t>
            </w:r>
          </w:p>
        </w:tc>
        <w:tc>
          <w:tcPr>
            <w:tcW w:w="647"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.39</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.17</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.47</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.24</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.61</w:t>
            </w:r>
          </w:p>
        </w:tc>
        <w:tc>
          <w:tcPr>
            <w:tcW w:w="121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.79</w:t>
            </w:r>
          </w:p>
        </w:tc>
      </w:tr>
      <w:tr w:rsidR="00227659" w:rsidTr="00F039EB">
        <w:tblPrEx>
          <w:tblCellMar>
            <w:left w:w="70" w:type="dxa"/>
            <w:right w:w="70" w:type="dxa"/>
          </w:tblCellMar>
        </w:tblPrEx>
        <w:trPr>
          <w:trHeight w:val="80"/>
          <w:jc w:val="center"/>
        </w:trPr>
        <w:tc>
          <w:tcPr>
            <w:tcW w:w="2654"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lastRenderedPageBreak/>
              <w:t>No/sí/también/tampoco</w:t>
            </w:r>
          </w:p>
        </w:tc>
        <w:tc>
          <w:tcPr>
            <w:tcW w:w="76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1.81</w:t>
            </w:r>
          </w:p>
        </w:tc>
        <w:tc>
          <w:tcPr>
            <w:tcW w:w="647"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1.62</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1.79</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1.70</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1.89</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1.70</w:t>
            </w:r>
          </w:p>
        </w:tc>
        <w:tc>
          <w:tcPr>
            <w:tcW w:w="121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.04</w:t>
            </w:r>
          </w:p>
        </w:tc>
      </w:tr>
      <w:tr w:rsidR="00227659" w:rsidTr="00F56F21">
        <w:tblPrEx>
          <w:tblCellMar>
            <w:left w:w="70" w:type="dxa"/>
            <w:right w:w="70" w:type="dxa"/>
          </w:tblCellMar>
        </w:tblPrEx>
        <w:trPr>
          <w:trHeight w:val="300"/>
          <w:jc w:val="center"/>
        </w:trPr>
        <w:tc>
          <w:tcPr>
            <w:tcW w:w="2654" w:type="dxa"/>
            <w:tcBorders>
              <w:bottom w:val="single" w:sz="4" w:space="0" w:color="000000"/>
            </w:tcBorders>
            <w:shd w:val="clear" w:color="auto" w:fill="auto"/>
            <w:vAlign w:val="bottom"/>
          </w:tcPr>
          <w:p w:rsidR="00227659" w:rsidRDefault="00F039EB" w:rsidP="00F039EB">
            <w:pPr>
              <w:spacing w:line="360" w:lineRule="auto"/>
              <w:rPr>
                <w:color w:val="000000"/>
                <w:sz w:val="20"/>
                <w:szCs w:val="20"/>
                <w:lang w:val="es-MX"/>
              </w:rPr>
            </w:pPr>
            <w:r>
              <w:rPr>
                <w:color w:val="000000"/>
                <w:sz w:val="20"/>
                <w:szCs w:val="20"/>
                <w:lang w:val="es-MX"/>
              </w:rPr>
              <w:t>F</w:t>
            </w:r>
            <w:r w:rsidR="00F235DD">
              <w:rPr>
                <w:color w:val="000000"/>
                <w:sz w:val="20"/>
                <w:szCs w:val="20"/>
                <w:lang w:val="es-MX"/>
              </w:rPr>
              <w:t>ormas de obligación</w:t>
            </w:r>
          </w:p>
        </w:tc>
        <w:tc>
          <w:tcPr>
            <w:tcW w:w="761"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.03</w:t>
            </w:r>
          </w:p>
        </w:tc>
        <w:tc>
          <w:tcPr>
            <w:tcW w:w="647"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w:t>
            </w:r>
          </w:p>
        </w:tc>
        <w:tc>
          <w:tcPr>
            <w:tcW w:w="646"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.10</w:t>
            </w:r>
          </w:p>
        </w:tc>
        <w:tc>
          <w:tcPr>
            <w:tcW w:w="646"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.31</w:t>
            </w:r>
          </w:p>
        </w:tc>
        <w:tc>
          <w:tcPr>
            <w:tcW w:w="646"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.11</w:t>
            </w:r>
          </w:p>
        </w:tc>
        <w:tc>
          <w:tcPr>
            <w:tcW w:w="646"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.36</w:t>
            </w:r>
          </w:p>
        </w:tc>
        <w:tc>
          <w:tcPr>
            <w:tcW w:w="1212" w:type="dxa"/>
            <w:tcBorders>
              <w:bottom w:val="single" w:sz="4" w:space="0" w:color="000000"/>
            </w:tcBorders>
            <w:shd w:val="clear" w:color="auto" w:fill="auto"/>
            <w:vAlign w:val="bottom"/>
          </w:tcPr>
          <w:p w:rsidR="00227659" w:rsidRDefault="00F235DD" w:rsidP="006D20D2">
            <w:pPr>
              <w:spacing w:line="360" w:lineRule="auto"/>
              <w:jc w:val="center"/>
            </w:pPr>
            <w:r>
              <w:rPr>
                <w:color w:val="000000"/>
                <w:sz w:val="20"/>
                <w:szCs w:val="20"/>
                <w:lang w:val="es-MX"/>
              </w:rPr>
              <w:t>.73</w:t>
            </w:r>
          </w:p>
        </w:tc>
      </w:tr>
    </w:tbl>
    <w:p w:rsidR="00632490" w:rsidRPr="00F21DCE" w:rsidRDefault="00632490" w:rsidP="00632490">
      <w:pPr>
        <w:spacing w:line="360" w:lineRule="auto"/>
        <w:jc w:val="both"/>
        <w:rPr>
          <w:color w:val="000000"/>
          <w:sz w:val="18"/>
          <w:szCs w:val="18"/>
        </w:rPr>
      </w:pPr>
      <w:r>
        <w:rPr>
          <w:i/>
          <w:color w:val="000000"/>
          <w:sz w:val="18"/>
          <w:szCs w:val="18"/>
        </w:rPr>
        <w:t xml:space="preserve">             </w:t>
      </w:r>
      <w:r w:rsidRPr="00F21DCE">
        <w:rPr>
          <w:i/>
          <w:color w:val="000000"/>
          <w:sz w:val="18"/>
          <w:szCs w:val="18"/>
        </w:rPr>
        <w:t>Nota</w:t>
      </w:r>
      <w:r>
        <w:rPr>
          <w:i/>
          <w:color w:val="000000"/>
          <w:sz w:val="18"/>
          <w:szCs w:val="18"/>
        </w:rPr>
        <w:t xml:space="preserve">. </w:t>
      </w:r>
      <w:r>
        <w:rPr>
          <w:color w:val="000000"/>
          <w:sz w:val="18"/>
          <w:szCs w:val="18"/>
        </w:rPr>
        <w:t>M, Media; DE, Desvío Estándar.</w:t>
      </w:r>
    </w:p>
    <w:p w:rsidR="00227659" w:rsidRDefault="00227659">
      <w:pPr>
        <w:spacing w:line="360" w:lineRule="auto"/>
        <w:ind w:firstLine="708"/>
      </w:pPr>
    </w:p>
    <w:p w:rsidR="00227659" w:rsidRDefault="00F235DD">
      <w:pPr>
        <w:spacing w:line="480" w:lineRule="auto"/>
        <w:jc w:val="both"/>
        <w:rPr>
          <w:color w:val="000000"/>
          <w:lang w:val="es-MX"/>
        </w:rPr>
      </w:pPr>
      <w:r>
        <w:rPr>
          <w:color w:val="000000"/>
        </w:rPr>
        <w:t xml:space="preserve">Los datos en la Tabla 8 ponen de manifiesto una progresión leve en el uso del </w:t>
      </w:r>
      <w:r>
        <w:rPr>
          <w:i/>
          <w:iCs/>
          <w:color w:val="000000"/>
        </w:rPr>
        <w:t>Pero</w:t>
      </w:r>
      <w:r>
        <w:rPr>
          <w:color w:val="000000"/>
        </w:rPr>
        <w:t xml:space="preserve"> (3 años: 0.03; 4 años: 0.17; 5 años: 0.24), del </w:t>
      </w:r>
      <w:r>
        <w:rPr>
          <w:i/>
          <w:iCs/>
          <w:color w:val="000000"/>
        </w:rPr>
        <w:t xml:space="preserve">Porque </w:t>
      </w:r>
      <w:r>
        <w:rPr>
          <w:color w:val="000000"/>
        </w:rPr>
        <w:t xml:space="preserve">(3 años: 0.09; 4 años: 0.17; 5 años: 0.24) y de las </w:t>
      </w:r>
      <w:r>
        <w:rPr>
          <w:i/>
          <w:iCs/>
          <w:color w:val="000000"/>
        </w:rPr>
        <w:t xml:space="preserve">Formas de obligación </w:t>
      </w:r>
      <w:r>
        <w:rPr>
          <w:color w:val="000000"/>
        </w:rPr>
        <w:t xml:space="preserve">(3 años: 0.03; 4 años: 0.1; 5 años: 0.11).  El uso de </w:t>
      </w:r>
      <w:r>
        <w:rPr>
          <w:i/>
          <w:iCs/>
          <w:color w:val="000000"/>
        </w:rPr>
        <w:t xml:space="preserve">No/Sí/También/Tampoco </w:t>
      </w:r>
      <w:r>
        <w:rPr>
          <w:color w:val="000000"/>
        </w:rPr>
        <w:t>se mantiene relativamente constante (3 años: 1.81; 4 años:</w:t>
      </w:r>
      <w:r w:rsidR="00632490">
        <w:rPr>
          <w:color w:val="000000"/>
        </w:rPr>
        <w:t xml:space="preserve"> 1.79; 5 años: 1.89). </w:t>
      </w:r>
      <w:r>
        <w:rPr>
          <w:color w:val="000000"/>
        </w:rPr>
        <w:t>Pero en ninguno de los casos las diferencias son significativas en términos estadísticos.</w:t>
      </w:r>
    </w:p>
    <w:p w:rsidR="00227659" w:rsidRDefault="00F235DD">
      <w:pPr>
        <w:spacing w:line="480" w:lineRule="auto"/>
        <w:ind w:firstLine="708"/>
        <w:jc w:val="both"/>
        <w:rPr>
          <w:color w:val="000000"/>
          <w:lang w:val="es-MX"/>
        </w:rPr>
      </w:pPr>
      <w:r>
        <w:rPr>
          <w:color w:val="000000"/>
          <w:lang w:val="es-MX"/>
        </w:rPr>
        <w:t xml:space="preserve">Con el propósito de estudiar las relaciones entre la expresión del punto de vista, las estrategias argumentativas empleadas en las situaciones de juego y los recursos lingüísticos involucrados, se realizó un análisis de correlación empleando el estadístico </w:t>
      </w:r>
      <w:r>
        <w:rPr>
          <w:i/>
          <w:color w:val="000000"/>
          <w:lang w:val="es-MX"/>
        </w:rPr>
        <w:t>r</w:t>
      </w:r>
      <w:r>
        <w:rPr>
          <w:color w:val="000000"/>
          <w:lang w:val="es-MX"/>
        </w:rPr>
        <w:t xml:space="preserve"> de Pearson.  En la Tabla 9 se observan los valores de la correlación entre las estrategias y los recursos.  </w:t>
      </w:r>
    </w:p>
    <w:p w:rsidR="00227659" w:rsidRDefault="00227659">
      <w:pPr>
        <w:spacing w:line="360" w:lineRule="auto"/>
        <w:ind w:firstLine="708"/>
        <w:rPr>
          <w:color w:val="000000"/>
          <w:lang w:val="es-MX"/>
        </w:rPr>
      </w:pPr>
    </w:p>
    <w:p w:rsidR="00227659" w:rsidRDefault="00F235DD" w:rsidP="005A1F4F">
      <w:pPr>
        <w:spacing w:line="360" w:lineRule="auto"/>
        <w:rPr>
          <w:i/>
          <w:color w:val="000000"/>
          <w:lang w:val="es-MX"/>
        </w:rPr>
      </w:pPr>
      <w:r>
        <w:rPr>
          <w:color w:val="000000"/>
          <w:lang w:val="es-MX"/>
        </w:rPr>
        <w:t>Tabla 9</w:t>
      </w:r>
    </w:p>
    <w:p w:rsidR="00227659" w:rsidRDefault="00F235DD" w:rsidP="005A1F4F">
      <w:pPr>
        <w:spacing w:line="360" w:lineRule="auto"/>
        <w:rPr>
          <w:b/>
          <w:color w:val="000000"/>
          <w:lang w:val="es-MX"/>
        </w:rPr>
      </w:pPr>
      <w:r>
        <w:rPr>
          <w:i/>
          <w:color w:val="000000"/>
          <w:lang w:val="es-MX"/>
        </w:rPr>
        <w:t>Correlaciones entre expresión del punto de vista, estrategias argumentativas y recursos lingüísticos.</w:t>
      </w:r>
    </w:p>
    <w:p w:rsidR="00227659" w:rsidRDefault="00227659">
      <w:pPr>
        <w:spacing w:line="360" w:lineRule="auto"/>
        <w:rPr>
          <w:b/>
          <w:color w:val="000000"/>
          <w:lang w:val="es-MX"/>
        </w:rPr>
      </w:pPr>
    </w:p>
    <w:tbl>
      <w:tblPr>
        <w:tblW w:w="0" w:type="auto"/>
        <w:jc w:val="center"/>
        <w:tblInd w:w="-207" w:type="dxa"/>
        <w:tblLayout w:type="fixed"/>
        <w:tblCellMar>
          <w:left w:w="70" w:type="dxa"/>
          <w:right w:w="70" w:type="dxa"/>
        </w:tblCellMar>
        <w:tblLook w:val="0000"/>
      </w:tblPr>
      <w:tblGrid>
        <w:gridCol w:w="2463"/>
        <w:gridCol w:w="957"/>
        <w:gridCol w:w="1028"/>
        <w:gridCol w:w="2498"/>
        <w:gridCol w:w="2002"/>
      </w:tblGrid>
      <w:tr w:rsidR="006D20D2" w:rsidTr="005A1F4F">
        <w:trPr>
          <w:trHeight w:val="300"/>
          <w:jc w:val="center"/>
        </w:trPr>
        <w:tc>
          <w:tcPr>
            <w:tcW w:w="2463" w:type="dxa"/>
            <w:tcBorders>
              <w:top w:val="single" w:sz="4" w:space="0" w:color="000000"/>
            </w:tcBorders>
            <w:shd w:val="clear" w:color="auto" w:fill="auto"/>
            <w:vAlign w:val="bottom"/>
          </w:tcPr>
          <w:p w:rsidR="006D20D2" w:rsidRDefault="006D20D2" w:rsidP="006D20D2">
            <w:pPr>
              <w:snapToGrid w:val="0"/>
              <w:spacing w:line="360" w:lineRule="auto"/>
              <w:jc w:val="center"/>
              <w:rPr>
                <w:color w:val="000000"/>
                <w:sz w:val="20"/>
                <w:szCs w:val="20"/>
                <w:lang w:val="es-MX"/>
              </w:rPr>
            </w:pPr>
            <w:r>
              <w:rPr>
                <w:color w:val="000000"/>
                <w:sz w:val="20"/>
                <w:szCs w:val="20"/>
                <w:lang w:val="es-MX"/>
              </w:rPr>
              <w:t>Estrategias argumentativas</w:t>
            </w:r>
          </w:p>
        </w:tc>
        <w:tc>
          <w:tcPr>
            <w:tcW w:w="6485" w:type="dxa"/>
            <w:gridSpan w:val="4"/>
            <w:tcBorders>
              <w:top w:val="single" w:sz="4" w:space="0" w:color="000000"/>
              <w:bottom w:val="single" w:sz="4" w:space="0" w:color="000000"/>
            </w:tcBorders>
            <w:shd w:val="clear" w:color="auto" w:fill="auto"/>
            <w:vAlign w:val="bottom"/>
          </w:tcPr>
          <w:p w:rsidR="006D20D2" w:rsidRDefault="006D20D2" w:rsidP="006D20D2">
            <w:pPr>
              <w:spacing w:line="360" w:lineRule="auto"/>
              <w:jc w:val="center"/>
              <w:rPr>
                <w:color w:val="000000"/>
                <w:sz w:val="20"/>
                <w:szCs w:val="20"/>
                <w:lang w:val="es-MX"/>
              </w:rPr>
            </w:pPr>
            <w:r>
              <w:rPr>
                <w:color w:val="000000"/>
                <w:sz w:val="20"/>
                <w:szCs w:val="20"/>
                <w:lang w:val="es-MX"/>
              </w:rPr>
              <w:t>Recursos lingüísticos</w:t>
            </w:r>
          </w:p>
        </w:tc>
      </w:tr>
      <w:tr w:rsidR="00227659" w:rsidTr="005A1F4F">
        <w:trPr>
          <w:trHeight w:val="300"/>
          <w:jc w:val="center"/>
        </w:trPr>
        <w:tc>
          <w:tcPr>
            <w:tcW w:w="2463" w:type="dxa"/>
            <w:tcBorders>
              <w:bottom w:val="single" w:sz="4" w:space="0" w:color="auto"/>
            </w:tcBorders>
            <w:shd w:val="clear" w:color="auto" w:fill="auto"/>
            <w:vAlign w:val="bottom"/>
          </w:tcPr>
          <w:p w:rsidR="00227659" w:rsidRDefault="00227659" w:rsidP="006D20D2">
            <w:pPr>
              <w:snapToGrid w:val="0"/>
              <w:spacing w:line="360" w:lineRule="auto"/>
              <w:jc w:val="center"/>
              <w:rPr>
                <w:color w:val="000000"/>
                <w:sz w:val="20"/>
                <w:szCs w:val="20"/>
                <w:lang w:val="es-MX"/>
              </w:rPr>
            </w:pPr>
          </w:p>
        </w:tc>
        <w:tc>
          <w:tcPr>
            <w:tcW w:w="957"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Pero</w:t>
            </w:r>
          </w:p>
        </w:tc>
        <w:tc>
          <w:tcPr>
            <w:tcW w:w="1028"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Porque</w:t>
            </w:r>
          </w:p>
        </w:tc>
        <w:tc>
          <w:tcPr>
            <w:tcW w:w="2498" w:type="dxa"/>
            <w:tcBorders>
              <w:top w:val="single" w:sz="4" w:space="0" w:color="000000"/>
              <w:bottom w:val="single" w:sz="4" w:space="0" w:color="000000"/>
            </w:tcBorders>
            <w:shd w:val="clear" w:color="auto" w:fill="auto"/>
            <w:vAlign w:val="bottom"/>
          </w:tcPr>
          <w:p w:rsidR="00227659" w:rsidRDefault="006D20D2" w:rsidP="006D20D2">
            <w:pPr>
              <w:spacing w:line="360" w:lineRule="auto"/>
              <w:ind w:right="-70"/>
              <w:jc w:val="center"/>
              <w:rPr>
                <w:color w:val="000000"/>
                <w:sz w:val="20"/>
                <w:szCs w:val="20"/>
                <w:lang w:val="es-MX"/>
              </w:rPr>
            </w:pPr>
            <w:r>
              <w:rPr>
                <w:color w:val="000000"/>
                <w:sz w:val="20"/>
                <w:szCs w:val="20"/>
                <w:lang w:val="es-MX"/>
              </w:rPr>
              <w:t>No/sí/también/tampoco</w:t>
            </w:r>
          </w:p>
        </w:tc>
        <w:tc>
          <w:tcPr>
            <w:tcW w:w="2002" w:type="dxa"/>
            <w:tcBorders>
              <w:top w:val="single" w:sz="4" w:space="0" w:color="000000"/>
              <w:bottom w:val="single" w:sz="4" w:space="0" w:color="000000"/>
            </w:tcBorders>
            <w:shd w:val="clear" w:color="auto" w:fill="auto"/>
            <w:vAlign w:val="bottom"/>
          </w:tcPr>
          <w:p w:rsidR="00227659" w:rsidRDefault="006D20D2" w:rsidP="006D20D2">
            <w:pPr>
              <w:spacing w:line="360" w:lineRule="auto"/>
              <w:jc w:val="center"/>
              <w:rPr>
                <w:color w:val="000000"/>
                <w:sz w:val="20"/>
                <w:szCs w:val="20"/>
                <w:lang w:val="es-MX"/>
              </w:rPr>
            </w:pPr>
            <w:r>
              <w:rPr>
                <w:color w:val="000000"/>
                <w:sz w:val="20"/>
                <w:szCs w:val="20"/>
                <w:lang w:val="es-MX"/>
              </w:rPr>
              <w:t>F</w:t>
            </w:r>
            <w:r w:rsidR="00F235DD">
              <w:rPr>
                <w:color w:val="000000"/>
                <w:sz w:val="20"/>
                <w:szCs w:val="20"/>
                <w:lang w:val="es-MX"/>
              </w:rPr>
              <w:t>ormas de obligación</w:t>
            </w:r>
          </w:p>
        </w:tc>
      </w:tr>
      <w:tr w:rsidR="00227659" w:rsidTr="005A1F4F">
        <w:trPr>
          <w:trHeight w:val="300"/>
          <w:jc w:val="center"/>
        </w:trPr>
        <w:tc>
          <w:tcPr>
            <w:tcW w:w="2463" w:type="dxa"/>
            <w:tcBorders>
              <w:top w:val="single" w:sz="4" w:space="0" w:color="auto"/>
            </w:tcBorders>
            <w:shd w:val="clear" w:color="auto" w:fill="auto"/>
            <w:vAlign w:val="bottom"/>
          </w:tcPr>
          <w:p w:rsidR="00227659" w:rsidRDefault="006D20D2" w:rsidP="005A1F4F">
            <w:pPr>
              <w:spacing w:line="360" w:lineRule="auto"/>
              <w:rPr>
                <w:color w:val="000000"/>
                <w:sz w:val="20"/>
                <w:szCs w:val="20"/>
                <w:lang w:val="es-MX"/>
              </w:rPr>
            </w:pPr>
            <w:r>
              <w:rPr>
                <w:color w:val="000000"/>
                <w:sz w:val="20"/>
                <w:szCs w:val="20"/>
                <w:lang w:val="es-MX"/>
              </w:rPr>
              <w:t>Punto de v</w:t>
            </w:r>
            <w:r w:rsidR="00F235DD">
              <w:rPr>
                <w:color w:val="000000"/>
                <w:sz w:val="20"/>
                <w:szCs w:val="20"/>
                <w:lang w:val="es-MX"/>
              </w:rPr>
              <w:t>ista</w:t>
            </w:r>
          </w:p>
        </w:tc>
        <w:tc>
          <w:tcPr>
            <w:tcW w:w="957"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-.078</w:t>
            </w:r>
          </w:p>
        </w:tc>
        <w:tc>
          <w:tcPr>
            <w:tcW w:w="1028" w:type="dxa"/>
            <w:tcBorders>
              <w:top w:val="single" w:sz="4" w:space="0" w:color="000000"/>
            </w:tcBorders>
            <w:shd w:val="clear" w:color="auto" w:fill="auto"/>
            <w:vAlign w:val="bottom"/>
          </w:tcPr>
          <w:p w:rsidR="00227659" w:rsidRDefault="00F235DD" w:rsidP="00DD233B">
            <w:pPr>
              <w:tabs>
                <w:tab w:val="left" w:pos="277"/>
              </w:tabs>
              <w:spacing w:line="360" w:lineRule="auto"/>
              <w:jc w:val="center"/>
              <w:rPr>
                <w:color w:val="000000"/>
                <w:sz w:val="20"/>
                <w:szCs w:val="20"/>
                <w:lang w:val="es-MX"/>
              </w:rPr>
            </w:pPr>
            <w:r>
              <w:rPr>
                <w:color w:val="000000"/>
                <w:sz w:val="20"/>
                <w:szCs w:val="20"/>
                <w:lang w:val="es-MX"/>
              </w:rPr>
              <w:t>.054</w:t>
            </w:r>
          </w:p>
        </w:tc>
        <w:tc>
          <w:tcPr>
            <w:tcW w:w="2498" w:type="dxa"/>
            <w:tcBorders>
              <w:top w:val="single" w:sz="4" w:space="0" w:color="000000"/>
            </w:tcBorders>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.347**</w:t>
            </w:r>
          </w:p>
        </w:tc>
        <w:tc>
          <w:tcPr>
            <w:tcW w:w="2002" w:type="dxa"/>
            <w:tcBorders>
              <w:top w:val="single" w:sz="4" w:space="0" w:color="000000"/>
            </w:tcBorders>
            <w:shd w:val="clear" w:color="auto" w:fill="auto"/>
            <w:vAlign w:val="bottom"/>
          </w:tcPr>
          <w:p w:rsidR="00227659" w:rsidRDefault="00F235DD" w:rsidP="00DD233B">
            <w:pPr>
              <w:tabs>
                <w:tab w:val="left" w:pos="753"/>
              </w:tabs>
              <w:spacing w:line="360" w:lineRule="auto"/>
              <w:jc w:val="center"/>
              <w:rPr>
                <w:color w:val="000000"/>
                <w:sz w:val="20"/>
                <w:szCs w:val="20"/>
                <w:lang w:val="es-MX"/>
              </w:rPr>
            </w:pPr>
            <w:r>
              <w:rPr>
                <w:color w:val="000000"/>
                <w:sz w:val="20"/>
                <w:szCs w:val="20"/>
                <w:lang w:val="es-MX"/>
              </w:rPr>
              <w:t>.008</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Reiteración 1</w:t>
            </w:r>
          </w:p>
        </w:tc>
        <w:tc>
          <w:tcPr>
            <w:tcW w:w="957"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-.124</w:t>
            </w:r>
          </w:p>
        </w:tc>
        <w:tc>
          <w:tcPr>
            <w:tcW w:w="102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-.070</w:t>
            </w:r>
          </w:p>
        </w:tc>
        <w:tc>
          <w:tcPr>
            <w:tcW w:w="2498"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.406**</w:t>
            </w:r>
          </w:p>
        </w:tc>
        <w:tc>
          <w:tcPr>
            <w:tcW w:w="200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-.018</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Reiteración 2</w:t>
            </w:r>
          </w:p>
        </w:tc>
        <w:tc>
          <w:tcPr>
            <w:tcW w:w="957"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.123</w:t>
            </w:r>
          </w:p>
        </w:tc>
        <w:tc>
          <w:tcPr>
            <w:tcW w:w="102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.147</w:t>
            </w:r>
          </w:p>
        </w:tc>
        <w:tc>
          <w:tcPr>
            <w:tcW w:w="2498" w:type="dxa"/>
            <w:shd w:val="clear" w:color="auto" w:fill="auto"/>
            <w:vAlign w:val="bottom"/>
          </w:tcPr>
          <w:p w:rsidR="00227659" w:rsidRDefault="00F235DD" w:rsidP="00DD233B">
            <w:pPr>
              <w:spacing w:line="360" w:lineRule="auto"/>
              <w:jc w:val="center"/>
              <w:rPr>
                <w:color w:val="000000"/>
                <w:sz w:val="20"/>
                <w:szCs w:val="20"/>
                <w:lang w:val="es-MX"/>
              </w:rPr>
            </w:pPr>
            <w:r>
              <w:rPr>
                <w:color w:val="000000"/>
                <w:sz w:val="20"/>
                <w:szCs w:val="20"/>
                <w:lang w:val="es-MX"/>
              </w:rPr>
              <w:t>.041</w:t>
            </w:r>
          </w:p>
        </w:tc>
        <w:tc>
          <w:tcPr>
            <w:tcW w:w="200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.111</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Anticipación</w:t>
            </w:r>
          </w:p>
        </w:tc>
        <w:tc>
          <w:tcPr>
            <w:tcW w:w="957"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.228*</w:t>
            </w:r>
          </w:p>
        </w:tc>
        <w:tc>
          <w:tcPr>
            <w:tcW w:w="1028"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.448**</w:t>
            </w:r>
          </w:p>
        </w:tc>
        <w:tc>
          <w:tcPr>
            <w:tcW w:w="249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.068</w:t>
            </w:r>
          </w:p>
        </w:tc>
        <w:tc>
          <w:tcPr>
            <w:tcW w:w="200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.122</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Narración</w:t>
            </w:r>
          </w:p>
        </w:tc>
        <w:tc>
          <w:tcPr>
            <w:tcW w:w="957"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.202*</w:t>
            </w:r>
          </w:p>
        </w:tc>
        <w:tc>
          <w:tcPr>
            <w:tcW w:w="102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.146</w:t>
            </w:r>
          </w:p>
        </w:tc>
        <w:tc>
          <w:tcPr>
            <w:tcW w:w="249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.107</w:t>
            </w:r>
          </w:p>
        </w:tc>
        <w:tc>
          <w:tcPr>
            <w:tcW w:w="200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-.085</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Descripción</w:t>
            </w:r>
          </w:p>
        </w:tc>
        <w:tc>
          <w:tcPr>
            <w:tcW w:w="957"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.279**</w:t>
            </w:r>
          </w:p>
        </w:tc>
        <w:tc>
          <w:tcPr>
            <w:tcW w:w="1028"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.265**</w:t>
            </w:r>
          </w:p>
        </w:tc>
        <w:tc>
          <w:tcPr>
            <w:tcW w:w="249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.125</w:t>
            </w:r>
          </w:p>
        </w:tc>
        <w:tc>
          <w:tcPr>
            <w:tcW w:w="200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.208*</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Generalización</w:t>
            </w:r>
          </w:p>
        </w:tc>
        <w:tc>
          <w:tcPr>
            <w:tcW w:w="957"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.187*</w:t>
            </w:r>
          </w:p>
        </w:tc>
        <w:tc>
          <w:tcPr>
            <w:tcW w:w="1028" w:type="dxa"/>
            <w:shd w:val="clear" w:color="auto" w:fill="auto"/>
            <w:vAlign w:val="bottom"/>
          </w:tcPr>
          <w:p w:rsidR="00227659" w:rsidRDefault="00DD233B" w:rsidP="00DD233B">
            <w:pPr>
              <w:spacing w:line="360" w:lineRule="auto"/>
              <w:rPr>
                <w:color w:val="000000"/>
                <w:sz w:val="20"/>
                <w:szCs w:val="20"/>
                <w:lang w:val="es-MX"/>
              </w:rPr>
            </w:pPr>
            <w:r>
              <w:rPr>
                <w:color w:val="000000"/>
                <w:sz w:val="20"/>
                <w:szCs w:val="20"/>
                <w:lang w:val="es-MX"/>
              </w:rPr>
              <w:t xml:space="preserve">    </w:t>
            </w:r>
            <w:r w:rsidR="00F235DD">
              <w:rPr>
                <w:color w:val="000000"/>
                <w:sz w:val="20"/>
                <w:szCs w:val="20"/>
                <w:lang w:val="es-MX"/>
              </w:rPr>
              <w:t>.081</w:t>
            </w:r>
          </w:p>
        </w:tc>
        <w:tc>
          <w:tcPr>
            <w:tcW w:w="249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.031</w:t>
            </w:r>
          </w:p>
        </w:tc>
        <w:tc>
          <w:tcPr>
            <w:tcW w:w="2002"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.312**</w:t>
            </w:r>
          </w:p>
        </w:tc>
      </w:tr>
      <w:tr w:rsidR="00227659" w:rsidTr="005A1F4F">
        <w:trPr>
          <w:trHeight w:val="300"/>
          <w:jc w:val="center"/>
        </w:trPr>
        <w:tc>
          <w:tcPr>
            <w:tcW w:w="2463" w:type="dxa"/>
            <w:shd w:val="clear" w:color="auto" w:fill="auto"/>
            <w:vAlign w:val="bottom"/>
          </w:tcPr>
          <w:p w:rsidR="00227659" w:rsidRDefault="006D20D2" w:rsidP="005A1F4F">
            <w:pPr>
              <w:spacing w:line="200" w:lineRule="atLeast"/>
              <w:rPr>
                <w:color w:val="000000"/>
                <w:sz w:val="20"/>
                <w:szCs w:val="20"/>
                <w:lang w:val="es-MX"/>
              </w:rPr>
            </w:pPr>
            <w:r>
              <w:rPr>
                <w:color w:val="000000"/>
                <w:sz w:val="20"/>
                <w:szCs w:val="20"/>
                <w:lang w:val="es-MX"/>
              </w:rPr>
              <w:t>Apelación a la a</w:t>
            </w:r>
            <w:r w:rsidR="00F235DD">
              <w:rPr>
                <w:color w:val="000000"/>
                <w:sz w:val="20"/>
                <w:szCs w:val="20"/>
                <w:lang w:val="es-MX"/>
              </w:rPr>
              <w:t>utoridad</w:t>
            </w:r>
          </w:p>
        </w:tc>
        <w:tc>
          <w:tcPr>
            <w:tcW w:w="957"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.230*</w:t>
            </w:r>
          </w:p>
        </w:tc>
        <w:tc>
          <w:tcPr>
            <w:tcW w:w="1028" w:type="dxa"/>
            <w:shd w:val="clear" w:color="auto" w:fill="auto"/>
            <w:vAlign w:val="bottom"/>
          </w:tcPr>
          <w:p w:rsidR="00227659" w:rsidRDefault="00DD233B" w:rsidP="006D20D2">
            <w:pPr>
              <w:spacing w:line="200" w:lineRule="atLeast"/>
              <w:jc w:val="center"/>
              <w:rPr>
                <w:color w:val="000000"/>
                <w:sz w:val="20"/>
                <w:szCs w:val="20"/>
                <w:lang w:val="es-MX"/>
              </w:rPr>
            </w:pPr>
            <w:r>
              <w:rPr>
                <w:color w:val="000000"/>
                <w:sz w:val="20"/>
                <w:szCs w:val="20"/>
                <w:lang w:val="es-MX"/>
              </w:rPr>
              <w:t xml:space="preserve"> </w:t>
            </w:r>
            <w:r w:rsidR="00F235DD">
              <w:rPr>
                <w:color w:val="000000"/>
                <w:sz w:val="20"/>
                <w:szCs w:val="20"/>
                <w:lang w:val="es-MX"/>
              </w:rPr>
              <w:t>.278**</w:t>
            </w:r>
          </w:p>
        </w:tc>
        <w:tc>
          <w:tcPr>
            <w:tcW w:w="2498" w:type="dxa"/>
            <w:shd w:val="clear" w:color="auto" w:fill="auto"/>
            <w:vAlign w:val="bottom"/>
          </w:tcPr>
          <w:p w:rsidR="00227659" w:rsidRDefault="00DD233B" w:rsidP="006D20D2">
            <w:pPr>
              <w:spacing w:line="200" w:lineRule="atLeast"/>
              <w:jc w:val="center"/>
              <w:rPr>
                <w:color w:val="000000"/>
                <w:sz w:val="20"/>
                <w:szCs w:val="20"/>
                <w:lang w:val="es-MX"/>
              </w:rPr>
            </w:pPr>
            <w:r>
              <w:rPr>
                <w:color w:val="000000"/>
                <w:sz w:val="20"/>
                <w:szCs w:val="20"/>
                <w:lang w:val="es-MX"/>
              </w:rPr>
              <w:t xml:space="preserve"> </w:t>
            </w:r>
            <w:r w:rsidR="00F235DD">
              <w:rPr>
                <w:color w:val="000000"/>
                <w:sz w:val="20"/>
                <w:szCs w:val="20"/>
                <w:lang w:val="es-MX"/>
              </w:rPr>
              <w:t>.181*</w:t>
            </w:r>
          </w:p>
        </w:tc>
        <w:tc>
          <w:tcPr>
            <w:tcW w:w="2002" w:type="dxa"/>
            <w:shd w:val="clear" w:color="auto" w:fill="auto"/>
            <w:vAlign w:val="bottom"/>
          </w:tcPr>
          <w:p w:rsidR="00227659" w:rsidRDefault="00DD233B" w:rsidP="00DD233B">
            <w:pPr>
              <w:spacing w:line="200" w:lineRule="atLeast"/>
              <w:rPr>
                <w:color w:val="000000"/>
                <w:sz w:val="20"/>
                <w:szCs w:val="20"/>
                <w:lang w:val="es-MX"/>
              </w:rPr>
            </w:pPr>
            <w:r>
              <w:rPr>
                <w:color w:val="000000"/>
                <w:sz w:val="20"/>
                <w:szCs w:val="20"/>
                <w:lang w:val="es-MX"/>
              </w:rPr>
              <w:t xml:space="preserve">              </w:t>
            </w:r>
            <w:r w:rsidR="00F235DD">
              <w:rPr>
                <w:color w:val="000000"/>
                <w:sz w:val="20"/>
                <w:szCs w:val="20"/>
                <w:lang w:val="es-MX"/>
              </w:rPr>
              <w:t>.048</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Cortesía</w:t>
            </w:r>
          </w:p>
        </w:tc>
        <w:tc>
          <w:tcPr>
            <w:tcW w:w="957" w:type="dxa"/>
            <w:shd w:val="clear" w:color="auto" w:fill="auto"/>
            <w:vAlign w:val="bottom"/>
          </w:tcPr>
          <w:p w:rsidR="00227659" w:rsidRDefault="00DD233B" w:rsidP="00DD233B">
            <w:pPr>
              <w:spacing w:line="360" w:lineRule="auto"/>
              <w:rPr>
                <w:color w:val="000000"/>
                <w:sz w:val="20"/>
                <w:szCs w:val="20"/>
                <w:lang w:val="es-MX"/>
              </w:rPr>
            </w:pPr>
            <w:r>
              <w:rPr>
                <w:color w:val="000000"/>
                <w:sz w:val="20"/>
                <w:szCs w:val="20"/>
                <w:lang w:val="es-MX"/>
              </w:rPr>
              <w:t xml:space="preserve">    </w:t>
            </w:r>
            <w:r w:rsidR="00F235DD">
              <w:rPr>
                <w:color w:val="000000"/>
                <w:sz w:val="20"/>
                <w:szCs w:val="20"/>
                <w:lang w:val="es-MX"/>
              </w:rPr>
              <w:t>.150</w:t>
            </w:r>
          </w:p>
        </w:tc>
        <w:tc>
          <w:tcPr>
            <w:tcW w:w="1028" w:type="dxa"/>
            <w:shd w:val="clear" w:color="auto" w:fill="auto"/>
            <w:vAlign w:val="bottom"/>
          </w:tcPr>
          <w:p w:rsidR="00227659" w:rsidRDefault="00DD233B" w:rsidP="00DD233B">
            <w:pPr>
              <w:spacing w:line="360" w:lineRule="auto"/>
              <w:rPr>
                <w:color w:val="000000"/>
                <w:sz w:val="20"/>
                <w:szCs w:val="20"/>
                <w:lang w:val="es-MX"/>
              </w:rPr>
            </w:pPr>
            <w:r>
              <w:rPr>
                <w:color w:val="000000"/>
                <w:sz w:val="20"/>
                <w:szCs w:val="20"/>
                <w:lang w:val="es-MX"/>
              </w:rPr>
              <w:t xml:space="preserve">    </w:t>
            </w:r>
            <w:r w:rsidR="00F235DD">
              <w:rPr>
                <w:color w:val="000000"/>
                <w:sz w:val="20"/>
                <w:szCs w:val="20"/>
                <w:lang w:val="es-MX"/>
              </w:rPr>
              <w:t>.223*</w:t>
            </w:r>
          </w:p>
        </w:tc>
        <w:tc>
          <w:tcPr>
            <w:tcW w:w="249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.053</w:t>
            </w:r>
          </w:p>
        </w:tc>
        <w:tc>
          <w:tcPr>
            <w:tcW w:w="2002" w:type="dxa"/>
            <w:shd w:val="clear" w:color="auto" w:fill="auto"/>
            <w:vAlign w:val="bottom"/>
          </w:tcPr>
          <w:p w:rsidR="00227659" w:rsidRDefault="00DD233B" w:rsidP="00DD233B">
            <w:pPr>
              <w:spacing w:line="360" w:lineRule="auto"/>
              <w:rPr>
                <w:color w:val="000000"/>
                <w:sz w:val="20"/>
                <w:szCs w:val="20"/>
                <w:lang w:val="es-MX"/>
              </w:rPr>
            </w:pPr>
            <w:r>
              <w:rPr>
                <w:color w:val="000000"/>
                <w:sz w:val="20"/>
                <w:szCs w:val="20"/>
                <w:lang w:val="es-MX"/>
              </w:rPr>
              <w:t xml:space="preserve">              </w:t>
            </w:r>
            <w:r w:rsidR="00F235DD">
              <w:rPr>
                <w:color w:val="000000"/>
                <w:sz w:val="20"/>
                <w:szCs w:val="20"/>
                <w:lang w:val="es-MX"/>
              </w:rPr>
              <w:t>.163</w:t>
            </w:r>
          </w:p>
        </w:tc>
      </w:tr>
      <w:tr w:rsidR="00227659" w:rsidTr="005A1F4F">
        <w:trPr>
          <w:trHeight w:val="300"/>
          <w:jc w:val="center"/>
        </w:trPr>
        <w:tc>
          <w:tcPr>
            <w:tcW w:w="2463" w:type="dxa"/>
            <w:tcBorders>
              <w:bottom w:val="single" w:sz="4" w:space="0" w:color="auto"/>
            </w:tcBorders>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 xml:space="preserve">Propuesta </w:t>
            </w:r>
            <w:r w:rsidR="006D20D2">
              <w:rPr>
                <w:color w:val="000000"/>
                <w:sz w:val="20"/>
                <w:szCs w:val="20"/>
                <w:lang w:val="es-MX"/>
              </w:rPr>
              <w:t xml:space="preserve"> a</w:t>
            </w:r>
            <w:r>
              <w:rPr>
                <w:color w:val="000000"/>
                <w:sz w:val="20"/>
                <w:szCs w:val="20"/>
                <w:lang w:val="es-MX"/>
              </w:rPr>
              <w:t>lternativa</w:t>
            </w:r>
          </w:p>
        </w:tc>
        <w:tc>
          <w:tcPr>
            <w:tcW w:w="957" w:type="dxa"/>
            <w:tcBorders>
              <w:bottom w:val="single" w:sz="4" w:space="0" w:color="auto"/>
            </w:tcBorders>
            <w:shd w:val="clear" w:color="auto" w:fill="auto"/>
            <w:vAlign w:val="bottom"/>
          </w:tcPr>
          <w:p w:rsidR="00227659" w:rsidRDefault="00DD233B" w:rsidP="00DD233B">
            <w:pPr>
              <w:spacing w:line="360" w:lineRule="auto"/>
              <w:rPr>
                <w:color w:val="000000"/>
                <w:sz w:val="20"/>
                <w:szCs w:val="20"/>
                <w:lang w:val="es-MX"/>
              </w:rPr>
            </w:pPr>
            <w:r>
              <w:rPr>
                <w:color w:val="000000"/>
                <w:sz w:val="20"/>
                <w:szCs w:val="20"/>
                <w:lang w:val="es-MX"/>
              </w:rPr>
              <w:t xml:space="preserve">    </w:t>
            </w:r>
            <w:r w:rsidR="00F235DD">
              <w:rPr>
                <w:color w:val="000000"/>
                <w:sz w:val="20"/>
                <w:szCs w:val="20"/>
                <w:lang w:val="es-MX"/>
              </w:rPr>
              <w:t>.043</w:t>
            </w:r>
          </w:p>
        </w:tc>
        <w:tc>
          <w:tcPr>
            <w:tcW w:w="1028" w:type="dxa"/>
            <w:tcBorders>
              <w:bottom w:val="single" w:sz="4" w:space="0" w:color="auto"/>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.280**</w:t>
            </w:r>
          </w:p>
        </w:tc>
        <w:tc>
          <w:tcPr>
            <w:tcW w:w="2498" w:type="dxa"/>
            <w:tcBorders>
              <w:bottom w:val="single" w:sz="4" w:space="0" w:color="auto"/>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.143</w:t>
            </w:r>
          </w:p>
        </w:tc>
        <w:tc>
          <w:tcPr>
            <w:tcW w:w="2002" w:type="dxa"/>
            <w:tcBorders>
              <w:bottom w:val="single" w:sz="4" w:space="0" w:color="auto"/>
            </w:tcBorders>
            <w:shd w:val="clear" w:color="auto" w:fill="auto"/>
            <w:vAlign w:val="bottom"/>
          </w:tcPr>
          <w:p w:rsidR="00227659" w:rsidRDefault="00DD233B" w:rsidP="00DD233B">
            <w:pPr>
              <w:spacing w:line="360" w:lineRule="auto"/>
              <w:rPr>
                <w:color w:val="000000"/>
                <w:sz w:val="18"/>
                <w:szCs w:val="18"/>
                <w:lang w:val="es-MX"/>
              </w:rPr>
            </w:pPr>
            <w:r>
              <w:rPr>
                <w:color w:val="000000"/>
                <w:sz w:val="20"/>
                <w:szCs w:val="20"/>
                <w:lang w:val="es-MX"/>
              </w:rPr>
              <w:t xml:space="preserve">              </w:t>
            </w:r>
            <w:r w:rsidR="00F235DD">
              <w:rPr>
                <w:color w:val="000000"/>
                <w:sz w:val="20"/>
                <w:szCs w:val="20"/>
                <w:lang w:val="es-MX"/>
              </w:rPr>
              <w:t>.030</w:t>
            </w:r>
          </w:p>
        </w:tc>
      </w:tr>
    </w:tbl>
    <w:p w:rsidR="00632490" w:rsidRPr="00F21DCE" w:rsidRDefault="00632490" w:rsidP="00632490">
      <w:pPr>
        <w:spacing w:line="360" w:lineRule="auto"/>
        <w:ind w:left="1" w:hanging="1"/>
        <w:jc w:val="both"/>
        <w:rPr>
          <w:color w:val="000000"/>
          <w:sz w:val="18"/>
          <w:szCs w:val="18"/>
        </w:rPr>
      </w:pPr>
      <w:r w:rsidRPr="00F21DCE">
        <w:rPr>
          <w:i/>
          <w:color w:val="000000"/>
          <w:sz w:val="18"/>
          <w:szCs w:val="18"/>
        </w:rPr>
        <w:t>Nota</w:t>
      </w:r>
      <w:r>
        <w:rPr>
          <w:i/>
          <w:color w:val="000000"/>
          <w:sz w:val="18"/>
          <w:szCs w:val="18"/>
        </w:rPr>
        <w:t xml:space="preserve">. </w:t>
      </w:r>
      <w:r>
        <w:rPr>
          <w:color w:val="000000"/>
          <w:sz w:val="18"/>
          <w:szCs w:val="18"/>
        </w:rPr>
        <w:t>M, Media; DE, Desvío Estándar.</w:t>
      </w:r>
    </w:p>
    <w:p w:rsidR="00227659" w:rsidRDefault="00F235DD" w:rsidP="006D20D2">
      <w:pPr>
        <w:spacing w:line="360" w:lineRule="auto"/>
        <w:ind w:firstLine="142"/>
        <w:rPr>
          <w:color w:val="000000"/>
          <w:lang w:val="es-MX"/>
        </w:rPr>
      </w:pPr>
      <w:r>
        <w:rPr>
          <w:color w:val="000000"/>
          <w:sz w:val="18"/>
          <w:szCs w:val="18"/>
          <w:lang w:val="es-MX"/>
        </w:rPr>
        <w:t>p &lt; .05,  ** p &lt; .01</w:t>
      </w:r>
    </w:p>
    <w:p w:rsidR="00227659" w:rsidRDefault="00227659">
      <w:pPr>
        <w:spacing w:line="360" w:lineRule="auto"/>
        <w:ind w:left="360"/>
        <w:rPr>
          <w:color w:val="000000"/>
          <w:lang w:val="es-MX"/>
        </w:rPr>
      </w:pPr>
    </w:p>
    <w:p w:rsidR="00227659" w:rsidRDefault="00F235DD">
      <w:pPr>
        <w:spacing w:line="480" w:lineRule="auto"/>
        <w:ind w:firstLine="360"/>
        <w:jc w:val="both"/>
        <w:rPr>
          <w:color w:val="000000"/>
          <w:lang w:val="es-MX"/>
        </w:rPr>
      </w:pPr>
      <w:r>
        <w:rPr>
          <w:color w:val="000000"/>
          <w:lang w:val="es-MX"/>
        </w:rPr>
        <w:t xml:space="preserve">Los resultados evidencian que los recursos lingüísticos y las estrategias argumentativas se hallan en algunos casos significativamente correlacionados de modo positivo.  Por ejemplo, el recurso lingüístico </w:t>
      </w:r>
      <w:r>
        <w:rPr>
          <w:i/>
          <w:iCs/>
          <w:color w:val="000000"/>
          <w:lang w:val="es-MX"/>
        </w:rPr>
        <w:t xml:space="preserve">Pero </w:t>
      </w:r>
      <w:r>
        <w:rPr>
          <w:color w:val="000000"/>
          <w:lang w:val="es-MX"/>
        </w:rPr>
        <w:t xml:space="preserve">se encuentra vinculado con la estrategia de </w:t>
      </w:r>
      <w:r>
        <w:rPr>
          <w:i/>
          <w:iCs/>
          <w:color w:val="000000"/>
          <w:lang w:val="es-MX"/>
        </w:rPr>
        <w:t>Anticipación</w:t>
      </w:r>
      <w:r>
        <w:rPr>
          <w:color w:val="000000"/>
          <w:lang w:val="es-MX"/>
        </w:rPr>
        <w:t xml:space="preserve"> (</w:t>
      </w:r>
      <w:r>
        <w:rPr>
          <w:i/>
          <w:color w:val="000000"/>
          <w:lang w:val="es-MX"/>
        </w:rPr>
        <w:t>r</w:t>
      </w:r>
      <w:r>
        <w:rPr>
          <w:color w:val="000000"/>
          <w:lang w:val="es-MX"/>
        </w:rPr>
        <w:t xml:space="preserve"> = .23, </w:t>
      </w:r>
      <w:r>
        <w:rPr>
          <w:i/>
          <w:color w:val="000000"/>
          <w:lang w:val="es-MX"/>
        </w:rPr>
        <w:t>p</w:t>
      </w:r>
      <w:r>
        <w:rPr>
          <w:color w:val="000000"/>
          <w:lang w:val="es-MX"/>
        </w:rPr>
        <w:t xml:space="preserve"> &lt; .05), de </w:t>
      </w:r>
      <w:r>
        <w:rPr>
          <w:i/>
          <w:iCs/>
          <w:color w:val="000000"/>
          <w:lang w:val="es-MX"/>
        </w:rPr>
        <w:t>Narración</w:t>
      </w:r>
      <w:r>
        <w:rPr>
          <w:color w:val="000000"/>
          <w:lang w:val="es-MX"/>
        </w:rPr>
        <w:t xml:space="preserve"> (</w:t>
      </w:r>
      <w:r>
        <w:rPr>
          <w:i/>
          <w:color w:val="000000"/>
          <w:lang w:val="es-MX"/>
        </w:rPr>
        <w:t>r</w:t>
      </w:r>
      <w:r>
        <w:rPr>
          <w:color w:val="000000"/>
          <w:lang w:val="es-MX"/>
        </w:rPr>
        <w:t xml:space="preserve"> = .20, </w:t>
      </w:r>
      <w:r>
        <w:rPr>
          <w:i/>
          <w:color w:val="000000"/>
          <w:lang w:val="es-MX"/>
        </w:rPr>
        <w:t>p</w:t>
      </w:r>
      <w:r>
        <w:rPr>
          <w:color w:val="000000"/>
          <w:lang w:val="es-MX"/>
        </w:rPr>
        <w:t xml:space="preserve"> &lt; .05), de </w:t>
      </w:r>
      <w:r>
        <w:rPr>
          <w:i/>
          <w:iCs/>
          <w:color w:val="000000"/>
          <w:lang w:val="es-MX"/>
        </w:rPr>
        <w:t>Descripción</w:t>
      </w:r>
      <w:r>
        <w:rPr>
          <w:color w:val="000000"/>
          <w:lang w:val="es-MX"/>
        </w:rPr>
        <w:t xml:space="preserve"> (</w:t>
      </w:r>
      <w:r>
        <w:rPr>
          <w:i/>
          <w:color w:val="000000"/>
          <w:lang w:val="es-MX"/>
        </w:rPr>
        <w:t>r</w:t>
      </w:r>
      <w:r>
        <w:rPr>
          <w:color w:val="000000"/>
          <w:lang w:val="es-MX"/>
        </w:rPr>
        <w:t xml:space="preserve"> = .28, </w:t>
      </w:r>
      <w:r>
        <w:rPr>
          <w:i/>
          <w:color w:val="000000"/>
          <w:lang w:val="es-MX"/>
        </w:rPr>
        <w:t>p</w:t>
      </w:r>
      <w:r>
        <w:rPr>
          <w:color w:val="000000"/>
          <w:lang w:val="es-MX"/>
        </w:rPr>
        <w:t xml:space="preserve"> &lt; .01), de </w:t>
      </w:r>
      <w:r>
        <w:rPr>
          <w:i/>
          <w:iCs/>
          <w:color w:val="000000"/>
          <w:lang w:val="es-MX"/>
        </w:rPr>
        <w:t>Generalización</w:t>
      </w:r>
      <w:r>
        <w:rPr>
          <w:color w:val="000000"/>
          <w:lang w:val="es-MX"/>
        </w:rPr>
        <w:t xml:space="preserve"> (</w:t>
      </w:r>
      <w:r>
        <w:rPr>
          <w:i/>
          <w:color w:val="000000"/>
          <w:lang w:val="es-MX"/>
        </w:rPr>
        <w:t>r</w:t>
      </w:r>
      <w:r>
        <w:rPr>
          <w:color w:val="000000"/>
          <w:lang w:val="es-MX"/>
        </w:rPr>
        <w:t xml:space="preserve"> = .19, </w:t>
      </w:r>
      <w:r>
        <w:rPr>
          <w:i/>
          <w:color w:val="000000"/>
          <w:lang w:val="es-MX"/>
        </w:rPr>
        <w:t>p</w:t>
      </w:r>
      <w:r>
        <w:rPr>
          <w:color w:val="000000"/>
          <w:lang w:val="es-MX"/>
        </w:rPr>
        <w:t xml:space="preserve"> &lt; .05) y de </w:t>
      </w:r>
      <w:r>
        <w:rPr>
          <w:i/>
          <w:iCs/>
          <w:color w:val="000000"/>
          <w:lang w:val="es-MX"/>
        </w:rPr>
        <w:t>Apelación a la Autoridad</w:t>
      </w:r>
      <w:r>
        <w:rPr>
          <w:color w:val="000000"/>
          <w:lang w:val="es-MX"/>
        </w:rPr>
        <w:t xml:space="preserve"> (</w:t>
      </w:r>
      <w:r>
        <w:rPr>
          <w:i/>
          <w:color w:val="000000"/>
          <w:lang w:val="es-MX"/>
        </w:rPr>
        <w:t>r</w:t>
      </w:r>
      <w:r>
        <w:rPr>
          <w:color w:val="000000"/>
          <w:lang w:val="es-MX"/>
        </w:rPr>
        <w:t xml:space="preserve"> = .23, </w:t>
      </w:r>
      <w:r>
        <w:rPr>
          <w:i/>
          <w:color w:val="000000"/>
          <w:lang w:val="es-MX"/>
        </w:rPr>
        <w:t>p</w:t>
      </w:r>
      <w:r>
        <w:rPr>
          <w:color w:val="000000"/>
          <w:lang w:val="es-MX"/>
        </w:rPr>
        <w:t xml:space="preserve"> &lt; .05).  </w:t>
      </w:r>
    </w:p>
    <w:p w:rsidR="00227659" w:rsidRDefault="00F235DD">
      <w:pPr>
        <w:spacing w:line="480" w:lineRule="auto"/>
        <w:ind w:firstLine="360"/>
        <w:jc w:val="both"/>
        <w:rPr>
          <w:color w:val="000000"/>
          <w:lang w:val="es-MX"/>
        </w:rPr>
      </w:pPr>
      <w:r>
        <w:rPr>
          <w:color w:val="000000"/>
          <w:lang w:val="es-MX"/>
        </w:rPr>
        <w:t xml:space="preserve">Por su parte, el recurso lingüístico </w:t>
      </w:r>
      <w:r>
        <w:rPr>
          <w:i/>
          <w:iCs/>
          <w:color w:val="000000"/>
          <w:lang w:val="es-MX"/>
        </w:rPr>
        <w:t>Porque</w:t>
      </w:r>
      <w:r>
        <w:rPr>
          <w:color w:val="000000"/>
          <w:lang w:val="es-MX"/>
        </w:rPr>
        <w:t xml:space="preserve"> se halla asociado a las estrategias argumentativas de </w:t>
      </w:r>
      <w:r>
        <w:rPr>
          <w:i/>
          <w:iCs/>
          <w:color w:val="000000"/>
          <w:lang w:val="es-MX"/>
        </w:rPr>
        <w:t>Anticipación</w:t>
      </w:r>
      <w:r>
        <w:rPr>
          <w:color w:val="000000"/>
          <w:lang w:val="es-MX"/>
        </w:rPr>
        <w:t xml:space="preserve"> (</w:t>
      </w:r>
      <w:r>
        <w:rPr>
          <w:i/>
          <w:color w:val="000000"/>
          <w:lang w:val="es-MX"/>
        </w:rPr>
        <w:t>r</w:t>
      </w:r>
      <w:r>
        <w:rPr>
          <w:color w:val="000000"/>
          <w:lang w:val="es-MX"/>
        </w:rPr>
        <w:t xml:space="preserve"> = .45, </w:t>
      </w:r>
      <w:r>
        <w:rPr>
          <w:i/>
          <w:color w:val="000000"/>
          <w:lang w:val="es-MX"/>
        </w:rPr>
        <w:t>p</w:t>
      </w:r>
      <w:r>
        <w:rPr>
          <w:color w:val="000000"/>
          <w:lang w:val="es-MX"/>
        </w:rPr>
        <w:t xml:space="preserve"> &lt; .01), </w:t>
      </w:r>
      <w:r>
        <w:rPr>
          <w:i/>
          <w:iCs/>
          <w:color w:val="000000"/>
          <w:lang w:val="es-MX"/>
        </w:rPr>
        <w:t>Descripción</w:t>
      </w:r>
      <w:r>
        <w:rPr>
          <w:color w:val="000000"/>
          <w:lang w:val="es-MX"/>
        </w:rPr>
        <w:t xml:space="preserve"> (</w:t>
      </w:r>
      <w:r>
        <w:rPr>
          <w:i/>
          <w:color w:val="000000"/>
          <w:lang w:val="es-MX"/>
        </w:rPr>
        <w:t>r</w:t>
      </w:r>
      <w:r>
        <w:rPr>
          <w:color w:val="000000"/>
          <w:lang w:val="es-MX"/>
        </w:rPr>
        <w:t xml:space="preserve"> = .27, </w:t>
      </w:r>
      <w:r>
        <w:rPr>
          <w:i/>
          <w:color w:val="000000"/>
          <w:lang w:val="es-MX"/>
        </w:rPr>
        <w:t>p</w:t>
      </w:r>
      <w:r>
        <w:rPr>
          <w:color w:val="000000"/>
          <w:lang w:val="es-MX"/>
        </w:rPr>
        <w:t xml:space="preserve"> &lt; .01), </w:t>
      </w:r>
      <w:r>
        <w:rPr>
          <w:i/>
          <w:iCs/>
          <w:color w:val="000000"/>
          <w:lang w:val="es-MX"/>
        </w:rPr>
        <w:t>Apelación a la Autoridad</w:t>
      </w:r>
      <w:r>
        <w:rPr>
          <w:color w:val="000000"/>
          <w:lang w:val="es-MX"/>
        </w:rPr>
        <w:t xml:space="preserve"> (</w:t>
      </w:r>
      <w:r>
        <w:rPr>
          <w:i/>
          <w:color w:val="000000"/>
          <w:lang w:val="es-MX"/>
        </w:rPr>
        <w:t>r</w:t>
      </w:r>
      <w:r>
        <w:rPr>
          <w:color w:val="000000"/>
          <w:lang w:val="es-MX"/>
        </w:rPr>
        <w:t xml:space="preserve"> = .28, </w:t>
      </w:r>
      <w:r>
        <w:rPr>
          <w:i/>
          <w:color w:val="000000"/>
          <w:lang w:val="es-MX"/>
        </w:rPr>
        <w:t>p</w:t>
      </w:r>
      <w:r>
        <w:rPr>
          <w:color w:val="000000"/>
          <w:lang w:val="es-MX"/>
        </w:rPr>
        <w:t xml:space="preserve"> &lt; .01), </w:t>
      </w:r>
      <w:r>
        <w:rPr>
          <w:i/>
          <w:iCs/>
          <w:color w:val="000000"/>
          <w:lang w:val="es-MX"/>
        </w:rPr>
        <w:t>Cortesía</w:t>
      </w:r>
      <w:r>
        <w:rPr>
          <w:color w:val="000000"/>
          <w:lang w:val="es-MX"/>
        </w:rPr>
        <w:t xml:space="preserve"> (</w:t>
      </w:r>
      <w:r>
        <w:rPr>
          <w:i/>
          <w:color w:val="000000"/>
          <w:lang w:val="es-MX"/>
        </w:rPr>
        <w:t>r</w:t>
      </w:r>
      <w:r>
        <w:rPr>
          <w:color w:val="000000"/>
          <w:lang w:val="es-MX"/>
        </w:rPr>
        <w:t xml:space="preserve"> = .22, </w:t>
      </w:r>
      <w:r>
        <w:rPr>
          <w:i/>
          <w:color w:val="000000"/>
          <w:lang w:val="es-MX"/>
        </w:rPr>
        <w:t>p</w:t>
      </w:r>
      <w:r>
        <w:rPr>
          <w:color w:val="000000"/>
          <w:lang w:val="es-MX"/>
        </w:rPr>
        <w:t xml:space="preserve"> &lt; .05) y </w:t>
      </w:r>
      <w:r>
        <w:rPr>
          <w:i/>
          <w:iCs/>
          <w:color w:val="000000"/>
          <w:lang w:val="es-MX"/>
        </w:rPr>
        <w:t>Propuesta Alternativa</w:t>
      </w:r>
      <w:r>
        <w:rPr>
          <w:color w:val="000000"/>
          <w:lang w:val="es-MX"/>
        </w:rPr>
        <w:t xml:space="preserve"> (</w:t>
      </w:r>
      <w:r>
        <w:rPr>
          <w:i/>
          <w:color w:val="000000"/>
          <w:lang w:val="es-MX"/>
        </w:rPr>
        <w:t>r</w:t>
      </w:r>
      <w:r>
        <w:rPr>
          <w:color w:val="000000"/>
          <w:lang w:val="es-MX"/>
        </w:rPr>
        <w:t xml:space="preserve"> = .28, </w:t>
      </w:r>
      <w:r>
        <w:rPr>
          <w:i/>
          <w:color w:val="000000"/>
          <w:lang w:val="es-MX"/>
        </w:rPr>
        <w:t>p</w:t>
      </w:r>
      <w:r>
        <w:rPr>
          <w:color w:val="000000"/>
          <w:lang w:val="es-MX"/>
        </w:rPr>
        <w:t xml:space="preserve"> &lt; .01).  </w:t>
      </w:r>
    </w:p>
    <w:p w:rsidR="00227659" w:rsidRDefault="00F235DD">
      <w:pPr>
        <w:spacing w:line="480" w:lineRule="auto"/>
        <w:ind w:firstLine="360"/>
        <w:jc w:val="both"/>
        <w:rPr>
          <w:color w:val="000000"/>
          <w:lang w:val="es-MX"/>
        </w:rPr>
      </w:pPr>
      <w:r>
        <w:rPr>
          <w:color w:val="000000"/>
          <w:lang w:val="es-MX"/>
        </w:rPr>
        <w:t xml:space="preserve">Asimismo, las formas de oposición, que involucran las formas </w:t>
      </w:r>
      <w:r>
        <w:rPr>
          <w:i/>
          <w:iCs/>
          <w:color w:val="000000"/>
          <w:lang w:val="es-MX"/>
        </w:rPr>
        <w:t xml:space="preserve">No/Sí/También/Tampoco, </w:t>
      </w:r>
      <w:r>
        <w:rPr>
          <w:color w:val="000000"/>
          <w:lang w:val="es-MX"/>
        </w:rPr>
        <w:t xml:space="preserve">se encuentran relacionadas con la expresión de </w:t>
      </w:r>
      <w:r>
        <w:rPr>
          <w:i/>
          <w:iCs/>
          <w:color w:val="000000"/>
          <w:lang w:val="es-MX"/>
        </w:rPr>
        <w:t>Punto de vista</w:t>
      </w:r>
      <w:r>
        <w:rPr>
          <w:color w:val="000000"/>
          <w:lang w:val="es-MX"/>
        </w:rPr>
        <w:t xml:space="preserve"> (</w:t>
      </w:r>
      <w:r>
        <w:rPr>
          <w:i/>
          <w:color w:val="000000"/>
          <w:lang w:val="es-MX"/>
        </w:rPr>
        <w:t>r</w:t>
      </w:r>
      <w:r>
        <w:rPr>
          <w:color w:val="000000"/>
          <w:lang w:val="es-MX"/>
        </w:rPr>
        <w:t xml:space="preserve"> = .35, </w:t>
      </w:r>
      <w:r>
        <w:rPr>
          <w:i/>
          <w:color w:val="000000"/>
          <w:lang w:val="es-MX"/>
        </w:rPr>
        <w:t>p</w:t>
      </w:r>
      <w:r>
        <w:rPr>
          <w:color w:val="000000"/>
          <w:lang w:val="es-MX"/>
        </w:rPr>
        <w:t xml:space="preserve"> &lt; .01), </w:t>
      </w:r>
      <w:r>
        <w:rPr>
          <w:i/>
          <w:iCs/>
          <w:color w:val="000000"/>
          <w:lang w:val="es-MX"/>
        </w:rPr>
        <w:t>Reiteración de tipo 1</w:t>
      </w:r>
      <w:r>
        <w:rPr>
          <w:color w:val="000000"/>
          <w:lang w:val="es-MX"/>
        </w:rPr>
        <w:t xml:space="preserve"> (</w:t>
      </w:r>
      <w:r>
        <w:rPr>
          <w:i/>
          <w:color w:val="000000"/>
          <w:lang w:val="es-MX"/>
        </w:rPr>
        <w:t>r</w:t>
      </w:r>
      <w:r>
        <w:rPr>
          <w:color w:val="000000"/>
          <w:lang w:val="es-MX"/>
        </w:rPr>
        <w:t xml:space="preserve"> = .41, </w:t>
      </w:r>
      <w:r>
        <w:rPr>
          <w:i/>
          <w:color w:val="000000"/>
          <w:lang w:val="es-MX"/>
        </w:rPr>
        <w:t>p</w:t>
      </w:r>
      <w:r>
        <w:rPr>
          <w:color w:val="000000"/>
          <w:lang w:val="es-MX"/>
        </w:rPr>
        <w:t xml:space="preserve"> &lt; .01) y </w:t>
      </w:r>
      <w:r>
        <w:rPr>
          <w:i/>
          <w:iCs/>
          <w:color w:val="000000"/>
          <w:lang w:val="es-MX"/>
        </w:rPr>
        <w:t xml:space="preserve">Apelación a la Autoridad </w:t>
      </w:r>
      <w:r>
        <w:rPr>
          <w:color w:val="000000"/>
          <w:lang w:val="es-MX"/>
        </w:rPr>
        <w:t>(</w:t>
      </w:r>
      <w:r>
        <w:rPr>
          <w:i/>
          <w:color w:val="000000"/>
          <w:lang w:val="es-MX"/>
        </w:rPr>
        <w:t>r</w:t>
      </w:r>
      <w:r>
        <w:rPr>
          <w:color w:val="000000"/>
          <w:lang w:val="es-MX"/>
        </w:rPr>
        <w:t xml:space="preserve"> = .18, </w:t>
      </w:r>
      <w:r>
        <w:rPr>
          <w:i/>
          <w:color w:val="000000"/>
          <w:lang w:val="es-MX"/>
        </w:rPr>
        <w:t>p</w:t>
      </w:r>
      <w:r>
        <w:rPr>
          <w:color w:val="000000"/>
          <w:lang w:val="es-MX"/>
        </w:rPr>
        <w:t xml:space="preserve"> &lt; .05).  Finalmente las </w:t>
      </w:r>
      <w:r>
        <w:rPr>
          <w:i/>
          <w:iCs/>
          <w:color w:val="000000"/>
          <w:lang w:val="es-MX"/>
        </w:rPr>
        <w:t>Formas de Obligación</w:t>
      </w:r>
      <w:r>
        <w:rPr>
          <w:color w:val="000000"/>
          <w:lang w:val="es-MX"/>
        </w:rPr>
        <w:t xml:space="preserve"> se hallan correlacionadas con las estrategias argumentativas de </w:t>
      </w:r>
      <w:r>
        <w:rPr>
          <w:i/>
          <w:iCs/>
          <w:color w:val="000000"/>
          <w:lang w:val="es-MX"/>
        </w:rPr>
        <w:t>Descripción</w:t>
      </w:r>
      <w:r>
        <w:rPr>
          <w:color w:val="000000"/>
          <w:lang w:val="es-MX"/>
        </w:rPr>
        <w:t xml:space="preserve"> (</w:t>
      </w:r>
      <w:r>
        <w:rPr>
          <w:i/>
          <w:color w:val="000000"/>
          <w:lang w:val="es-MX"/>
        </w:rPr>
        <w:t>r</w:t>
      </w:r>
      <w:r>
        <w:rPr>
          <w:color w:val="000000"/>
          <w:lang w:val="es-MX"/>
        </w:rPr>
        <w:t xml:space="preserve"> = .21, </w:t>
      </w:r>
      <w:r>
        <w:rPr>
          <w:i/>
          <w:color w:val="000000"/>
          <w:lang w:val="es-MX"/>
        </w:rPr>
        <w:t>p</w:t>
      </w:r>
      <w:r>
        <w:rPr>
          <w:color w:val="000000"/>
          <w:lang w:val="es-MX"/>
        </w:rPr>
        <w:t xml:space="preserve"> &lt; .05) y </w:t>
      </w:r>
      <w:r>
        <w:rPr>
          <w:i/>
          <w:iCs/>
          <w:color w:val="000000"/>
          <w:lang w:val="es-MX"/>
        </w:rPr>
        <w:t>Generalización</w:t>
      </w:r>
      <w:r>
        <w:rPr>
          <w:color w:val="000000"/>
          <w:lang w:val="es-MX"/>
        </w:rPr>
        <w:t xml:space="preserve"> (</w:t>
      </w:r>
      <w:r>
        <w:rPr>
          <w:i/>
          <w:color w:val="000000"/>
          <w:lang w:val="es-MX"/>
        </w:rPr>
        <w:t>r</w:t>
      </w:r>
      <w:r>
        <w:rPr>
          <w:color w:val="000000"/>
          <w:lang w:val="es-MX"/>
        </w:rPr>
        <w:t xml:space="preserve"> = .31, </w:t>
      </w:r>
      <w:r>
        <w:rPr>
          <w:i/>
          <w:color w:val="000000"/>
          <w:lang w:val="es-MX"/>
        </w:rPr>
        <w:t>p</w:t>
      </w:r>
      <w:r>
        <w:rPr>
          <w:color w:val="000000"/>
          <w:lang w:val="es-MX"/>
        </w:rPr>
        <w:t xml:space="preserve"> &lt; .01).  </w:t>
      </w:r>
    </w:p>
    <w:p w:rsidR="00227659" w:rsidRDefault="00F235DD">
      <w:pPr>
        <w:spacing w:line="480" w:lineRule="auto"/>
        <w:jc w:val="both"/>
        <w:rPr>
          <w:b/>
          <w:bCs/>
          <w:lang w:val="es-MX"/>
        </w:rPr>
      </w:pPr>
      <w:r>
        <w:rPr>
          <w:color w:val="000000"/>
          <w:lang w:val="es-MX"/>
        </w:rPr>
        <w:tab/>
      </w:r>
    </w:p>
    <w:p w:rsidR="00227659" w:rsidRDefault="00F235DD">
      <w:pPr>
        <w:spacing w:line="480" w:lineRule="auto"/>
        <w:jc w:val="both"/>
        <w:rPr>
          <w:bCs/>
          <w:lang w:val="es-MX"/>
        </w:rPr>
      </w:pPr>
      <w:r>
        <w:rPr>
          <w:b/>
          <w:bCs/>
          <w:lang w:val="es-MX"/>
        </w:rPr>
        <w:t xml:space="preserve">Discusión </w:t>
      </w:r>
    </w:p>
    <w:p w:rsidR="00227659" w:rsidRDefault="00227659">
      <w:pPr>
        <w:spacing w:line="480" w:lineRule="auto"/>
        <w:ind w:firstLine="708"/>
        <w:jc w:val="both"/>
        <w:rPr>
          <w:bCs/>
          <w:lang w:val="es-MX"/>
        </w:rPr>
      </w:pPr>
    </w:p>
    <w:p w:rsidR="00227659" w:rsidRDefault="00F235DD">
      <w:pPr>
        <w:spacing w:line="480" w:lineRule="auto"/>
        <w:ind w:firstLine="708"/>
        <w:jc w:val="both"/>
        <w:rPr>
          <w:bCs/>
          <w:lang w:val="es-MX"/>
        </w:rPr>
      </w:pPr>
      <w:r>
        <w:rPr>
          <w:bCs/>
          <w:lang w:val="es-MX"/>
        </w:rPr>
        <w:t xml:space="preserve">Los resultados de este trabajo aportan información relevante sobre el modo en que, durante los años preescolares, se despliegan las habilidades argumentativas, en el contexto de disputas entre pares en distintos tipos de situaciones de juego en el jardín de infantes.  Los datos analizados proporcionan evidencia de que cierta complejidad argumentativa -definida como la combinación de expresión del punto de vista y estrategia argumentativa- se abre paso rápidamente en el desarrollo.  Probablemente, ello sea atribuible a una temprana comprensión de que las intenciones -deseos, creencias- se alcanzan respaldando el punto de vista.  Los niños, ya a partir de los 3 años de edad, emplean diversas estrategias para sostener sus puntos </w:t>
      </w:r>
      <w:r>
        <w:rPr>
          <w:bCs/>
          <w:lang w:val="es-MX"/>
        </w:rPr>
        <w:lastRenderedPageBreak/>
        <w:t xml:space="preserve">de vista y a partir de los 4 años, son significativamente más las situaciones en las que los niños esgrimen una estrategia para sostener su posición que aquellas en las que simplemente oponen su punto de vista.  </w:t>
      </w:r>
    </w:p>
    <w:p w:rsidR="00227659" w:rsidRDefault="00F235DD">
      <w:pPr>
        <w:spacing w:line="480" w:lineRule="auto"/>
        <w:jc w:val="both"/>
        <w:rPr>
          <w:lang w:val="es-AR"/>
        </w:rPr>
      </w:pPr>
      <w:r>
        <w:rPr>
          <w:bCs/>
          <w:lang w:val="es-MX"/>
        </w:rPr>
        <w:tab/>
        <w:t xml:space="preserve">Cuando se consideran conjuntamente los datos referidos a todos los grupos de edad y tipos de juego se observa que los niños recurren de modo predominante a la estrategia de </w:t>
      </w:r>
      <w:r>
        <w:rPr>
          <w:bCs/>
          <w:i/>
          <w:lang w:val="es-MX"/>
        </w:rPr>
        <w:t xml:space="preserve">Descripción.  </w:t>
      </w:r>
      <w:r>
        <w:rPr>
          <w:bCs/>
          <w:lang w:val="es-MX"/>
        </w:rPr>
        <w:t xml:space="preserve">Es decir, seleccionan las </w:t>
      </w:r>
      <w:r>
        <w:rPr>
          <w:bCs/>
          <w:lang w:val="es-AR"/>
        </w:rPr>
        <w:t>características particulares de un objeto presente en la situación, del  evento en curso o un estado interno del interlocutor, para afirmar el punto de vista como conclusión (xxx).  En este sentido, los resultados coinciden con lo señalado por C</w:t>
      </w:r>
      <w:r>
        <w:rPr>
          <w:lang w:val="es-MX"/>
        </w:rPr>
        <w:t xml:space="preserve">respo (1995), quien </w:t>
      </w:r>
      <w:r>
        <w:rPr>
          <w:lang w:val="es-AR"/>
        </w:rPr>
        <w:t xml:space="preserve">sugiere que el niño pareciera buscar las </w:t>
      </w:r>
      <w:r>
        <w:rPr>
          <w:i/>
          <w:lang w:val="es-AR"/>
        </w:rPr>
        <w:t>razones</w:t>
      </w:r>
      <w:r>
        <w:rPr>
          <w:lang w:val="es-AR"/>
        </w:rPr>
        <w:t xml:space="preserve"> de sus primeros juicios en las relaciones que percibe en su propia actividad y en el contexto de la realidad inmediata.  Asimismo, el hecho de que la </w:t>
      </w:r>
      <w:r>
        <w:rPr>
          <w:i/>
          <w:lang w:val="es-AR"/>
        </w:rPr>
        <w:t xml:space="preserve">Reiteración 1 </w:t>
      </w:r>
      <w:r>
        <w:rPr>
          <w:lang w:val="es-AR"/>
        </w:rPr>
        <w:t xml:space="preserve">se distinga en cantidad de ocurrencias de otras estrategias, puede vincularse con el hecho de que, como sostienen Stein y Albro (2001) se trata de una estrategia simple que no conlleva el empleo de información nueva; es decir, solo requiere del reconocimiento tácito de una diferencia de opinión.   </w:t>
      </w:r>
    </w:p>
    <w:p w:rsidR="00227659" w:rsidRDefault="00F235DD">
      <w:pPr>
        <w:spacing w:line="480" w:lineRule="auto"/>
        <w:ind w:firstLine="708"/>
        <w:jc w:val="both"/>
        <w:rPr>
          <w:lang w:val="es-MX"/>
        </w:rPr>
      </w:pPr>
      <w:r>
        <w:rPr>
          <w:lang w:val="es-AR"/>
        </w:rPr>
        <w:t xml:space="preserve"> </w:t>
      </w:r>
      <w:r>
        <w:t xml:space="preserve">El análisis de las distintas estrategias argumentativas según la edad de los niños arrojó diferencias significativas a partir de los 4 años de edad.  </w:t>
      </w:r>
      <w:r>
        <w:rPr>
          <w:lang w:val="es-MX"/>
        </w:rPr>
        <w:t xml:space="preserve">Estos resultados son congruentes con los hallados por </w:t>
      </w:r>
      <w:r>
        <w:rPr>
          <w:lang w:val="es-AR"/>
        </w:rPr>
        <w:t xml:space="preserve">Bernard, Mercier y Clément (2012), quienes encontraron una diferencia significativa entre los niños de 3 y 4 años de edad en la comprensión del uso epistémico de </w:t>
      </w:r>
      <w:r>
        <w:rPr>
          <w:i/>
          <w:iCs/>
          <w:lang w:val="es-AR"/>
        </w:rPr>
        <w:t>porque</w:t>
      </w:r>
      <w:r>
        <w:rPr>
          <w:lang w:val="es-AR"/>
        </w:rPr>
        <w:t xml:space="preserve">, desencadenante de una argumentación.  </w:t>
      </w:r>
      <w:r>
        <w:rPr>
          <w:lang w:val="es-MX"/>
        </w:rPr>
        <w:t>Los resultados de este estudio, al igual que los del trabajo mencionado, parecen señalar a la edad de 4 años como un punto de inflexión en el que comienzan a ponerse de manifiesto habilidades tempranas de argumentación.</w:t>
      </w:r>
    </w:p>
    <w:p w:rsidR="00227659" w:rsidRDefault="00F235DD">
      <w:pPr>
        <w:spacing w:line="480" w:lineRule="auto"/>
        <w:ind w:firstLine="708"/>
        <w:jc w:val="both"/>
        <w:rPr>
          <w:rFonts w:eastAsia="Calibri"/>
          <w:lang w:val="es-AR"/>
        </w:rPr>
      </w:pPr>
      <w:r>
        <w:rPr>
          <w:lang w:val="es-MX"/>
        </w:rPr>
        <w:t xml:space="preserve">Por su parte, la consideración de posibles diferencias según el tipo de juego puso de manifiesto que los tres tipos de juego considerados –dramático, de construcciones y de mesa- promueven el empleo de estrategias argumentativas.  En este sentido, estos hallazgos confirman y expanden los resultados del trabajo de </w:t>
      </w:r>
      <w:r>
        <w:rPr>
          <w:lang w:val="es-AR"/>
        </w:rPr>
        <w:t xml:space="preserve">Zadunaisky Ehrlich y Blum-Kulka (2010) </w:t>
      </w:r>
      <w:r>
        <w:rPr>
          <w:lang w:val="es-AR"/>
        </w:rPr>
        <w:lastRenderedPageBreak/>
        <w:t xml:space="preserve">que indica que </w:t>
      </w:r>
      <w:r>
        <w:rPr>
          <w:rFonts w:eastAsia="Calibri"/>
          <w:lang w:val="es-AR"/>
        </w:rPr>
        <w:t xml:space="preserve">el juego dramático constituye un marco propicio para la argumentación, dado que las intenciones de los jugadores, el plan de juego y las acciones que lo conforman son negociados y coconstruidos.  Los resultados del presente trabajo muestran que también el juego de construcciones y los juegos de mesa constituyen actividades que propician el despliegue argumentativo.  </w:t>
      </w:r>
    </w:p>
    <w:p w:rsidR="00227659" w:rsidRDefault="00F235DD">
      <w:pPr>
        <w:spacing w:line="480" w:lineRule="auto"/>
        <w:ind w:firstLine="708"/>
        <w:jc w:val="both"/>
        <w:rPr>
          <w:rFonts w:eastAsia="Calibri"/>
          <w:lang w:val="es-AR"/>
        </w:rPr>
      </w:pPr>
      <w:r>
        <w:rPr>
          <w:rFonts w:eastAsia="Calibri"/>
          <w:lang w:val="es-AR"/>
        </w:rPr>
        <w:t xml:space="preserve">El hecho de que se observe un mayor uso de la estrategia de </w:t>
      </w:r>
      <w:r>
        <w:rPr>
          <w:rFonts w:eastAsia="Calibri"/>
          <w:i/>
          <w:lang w:val="es-AR"/>
        </w:rPr>
        <w:t>Descripción</w:t>
      </w:r>
      <w:r>
        <w:rPr>
          <w:rFonts w:eastAsia="Calibri"/>
          <w:lang w:val="es-AR"/>
        </w:rPr>
        <w:t xml:space="preserve"> en el juego dramático es coherente con la importancia que posee la narración en el juego dramático (Pellegrini, 2008).  En efecto, la descripción verbal es requerida en la construcción ficcional del mundo de fantasía, que se negocia entre los participantes.  Por su parte, el hecho de que el uso de la </w:t>
      </w:r>
      <w:r>
        <w:rPr>
          <w:rFonts w:eastAsia="Calibri"/>
          <w:i/>
          <w:lang w:val="es-AR"/>
        </w:rPr>
        <w:t>Propuesta Alternativa</w:t>
      </w:r>
      <w:r>
        <w:rPr>
          <w:rFonts w:eastAsia="Calibri"/>
          <w:lang w:val="es-AR"/>
        </w:rPr>
        <w:t xml:space="preserve"> se destaque en el juego de construcción puede atribuirse a que esta estrategia ofrece una solución flexible a problemas en escenarios de juegos donde es muy común cambiar roles, proponer nuevos caminos o formas de construcción.  Sin embargo, los </w:t>
      </w:r>
      <w:r>
        <w:rPr>
          <w:rFonts w:eastAsia="Calibri"/>
          <w:bCs/>
          <w:color w:val="000000"/>
          <w:lang w:val="es-MX"/>
        </w:rPr>
        <w:t xml:space="preserve">datos analizados muestran que las diferencias más importantes no son atribuibles al tipo de juego sino a la edad de los niños </w:t>
      </w:r>
    </w:p>
    <w:p w:rsidR="00227659" w:rsidRDefault="00F235DD">
      <w:pPr>
        <w:spacing w:line="480" w:lineRule="auto"/>
        <w:ind w:firstLine="708"/>
        <w:jc w:val="both"/>
        <w:rPr>
          <w:lang w:val="es-MX"/>
        </w:rPr>
      </w:pPr>
      <w:r>
        <w:rPr>
          <w:rFonts w:eastAsia="Calibri"/>
          <w:lang w:val="es-AR"/>
        </w:rPr>
        <w:t xml:space="preserve"> Los niños más grandes emplean en mayor medida una estrategia argumentativa para sostener sus puntos de vista en particular en juegos dramáticos y de mesa.  Ello podría resultar de la exigencia de responder o actuar de forma racional en escenarios que tienen por definición la constricción de reglas (Vygotski, 1964).   Es decir, para defender o cambiar una regla existente en el juego de mesa o en el juego dramático, se deben utilizar estructuras más complejas en términos argumentativos.</w:t>
      </w:r>
    </w:p>
    <w:p w:rsidR="00227659" w:rsidRDefault="00F235DD">
      <w:pPr>
        <w:spacing w:line="480" w:lineRule="auto"/>
        <w:ind w:firstLine="708"/>
        <w:jc w:val="both"/>
        <w:rPr>
          <w:lang w:val="es-MX"/>
        </w:rPr>
      </w:pPr>
      <w:r>
        <w:rPr>
          <w:lang w:val="es-MX"/>
        </w:rPr>
        <w:t xml:space="preserve">Finalmente, el estudio de las relaciones entre las estrategias argumentativas y los recursos lingüísticos involucrados en ellas mostró  correlaciones positivas en algunos casos.  En particular, la asociación de </w:t>
      </w:r>
      <w:r>
        <w:rPr>
          <w:i/>
          <w:iCs/>
          <w:lang w:val="es-MX"/>
        </w:rPr>
        <w:t>Porque</w:t>
      </w:r>
      <w:r>
        <w:rPr>
          <w:lang w:val="es-MX"/>
        </w:rPr>
        <w:t xml:space="preserve"> con ciertas estrategias argumentativas expanden los resultados de Pellegrini (1985), quien también había identificado la presencia de este conector en situaciones de juego dramático para producir transformaciones de objetos y para resolver </w:t>
      </w:r>
      <w:r>
        <w:rPr>
          <w:lang w:val="es-MX"/>
        </w:rPr>
        <w:lastRenderedPageBreak/>
        <w:t xml:space="preserve">conflictos.  En este sentido, nuestros resultados especifican las estrategias particulares en las que los niños utilizan </w:t>
      </w:r>
      <w:r>
        <w:rPr>
          <w:i/>
          <w:iCs/>
          <w:lang w:val="es-MX"/>
        </w:rPr>
        <w:t xml:space="preserve">porque </w:t>
      </w:r>
      <w:r>
        <w:rPr>
          <w:lang w:val="es-MX"/>
        </w:rPr>
        <w:t xml:space="preserve">para sostener sus puntos de vista: </w:t>
      </w:r>
      <w:r>
        <w:rPr>
          <w:i/>
          <w:iCs/>
          <w:lang w:val="es-MX"/>
        </w:rPr>
        <w:t>Anticipación, Descripción, Apelación a la Autoridad, Cortesía y Propuesta Alternativa.</w:t>
      </w:r>
    </w:p>
    <w:p w:rsidR="00227659" w:rsidRDefault="00F235DD">
      <w:pPr>
        <w:spacing w:line="480" w:lineRule="auto"/>
        <w:ind w:firstLine="708"/>
        <w:jc w:val="both"/>
        <w:rPr>
          <w:b/>
          <w:bCs/>
          <w:color w:val="000000"/>
          <w:lang w:val="es-MX"/>
        </w:rPr>
      </w:pPr>
      <w:r>
        <w:rPr>
          <w:lang w:val="es-MX"/>
        </w:rPr>
        <w:t xml:space="preserve">También Migdalek, Rosemberg y Arrúe (2013), habían atendido a la presencia del conector </w:t>
      </w:r>
      <w:r>
        <w:rPr>
          <w:i/>
          <w:lang w:val="es-MX"/>
        </w:rPr>
        <w:t xml:space="preserve">porque </w:t>
      </w:r>
      <w:r>
        <w:rPr>
          <w:lang w:val="es-MX"/>
        </w:rPr>
        <w:t xml:space="preserve">en la construcción del marco ficcional del juego dramático.  En efecto, en dicho trabajo, </w:t>
      </w:r>
      <w:r>
        <w:rPr>
          <w:i/>
          <w:iCs/>
          <w:lang w:val="es-MX"/>
        </w:rPr>
        <w:t>porque</w:t>
      </w:r>
      <w:r>
        <w:rPr>
          <w:lang w:val="es-MX"/>
        </w:rPr>
        <w:t xml:space="preserve"> aparece ligado a un tipo de juego en el que los niños explícitamente distinguen en la situación lúdica el plano ficcional del plano real y alternan entre ellos durante la situación.  En la negociación del marco ficcional, los niños recurrían a este conector para justificar sus propuestas de transformación de un objeto o sujeto real a un objeto o sujeto de fantasía (Pellegrini, 1985; Andresen, 2005).  Ello los conducía a emplear un estilo de discurso descontextualizado.  Los resultados del presente estudio coinciden en mostrar este estilo de discurso y lo ligan ahora, no ya al establecimiento del marco ficcional sino al intento de resolución de situaciones conflictivas en el juego.  En este sentido, los resultados revelan el potencial de las situaciones de disputa en el juego, que demandan tempranamente a los niños el uso de estrategias y recursos lingüísticos para sostener su posición.  Las interacciones en estos contextos se configuran, de este modo, en una </w:t>
      </w:r>
      <w:r>
        <w:rPr>
          <w:i/>
          <w:iCs/>
          <w:lang w:val="es-MX"/>
        </w:rPr>
        <w:t>zona de desarrollo próximo</w:t>
      </w:r>
      <w:r>
        <w:rPr>
          <w:lang w:val="es-MX"/>
        </w:rPr>
        <w:t xml:space="preserve"> (Vygotski, 1964) en la que se promueve el desarrollo psicolingüístico.</w:t>
      </w:r>
    </w:p>
    <w:p w:rsidR="00227659" w:rsidRDefault="00227659">
      <w:pPr>
        <w:spacing w:line="480" w:lineRule="auto"/>
        <w:jc w:val="both"/>
        <w:rPr>
          <w:b/>
          <w:bCs/>
          <w:color w:val="000000"/>
          <w:lang w:val="es-MX"/>
        </w:rPr>
      </w:pPr>
    </w:p>
    <w:p w:rsidR="00227659" w:rsidRDefault="00F235DD">
      <w:pPr>
        <w:pStyle w:val="Textoindependiente"/>
        <w:spacing w:after="0" w:line="480" w:lineRule="auto"/>
        <w:ind w:left="284" w:hanging="284"/>
        <w:jc w:val="both"/>
        <w:rPr>
          <w:lang w:val="en-US"/>
        </w:rPr>
      </w:pPr>
      <w:r>
        <w:rPr>
          <w:b/>
          <w:color w:val="000000"/>
          <w:lang w:val="en-GB"/>
        </w:rPr>
        <w:t>Referencias</w:t>
      </w:r>
    </w:p>
    <w:p w:rsidR="00227659" w:rsidRDefault="00227659">
      <w:pPr>
        <w:pStyle w:val="Textoindependiente"/>
        <w:spacing w:line="480" w:lineRule="auto"/>
        <w:ind w:right="-28"/>
        <w:rPr>
          <w:lang w:val="en-US"/>
        </w:rPr>
      </w:pPr>
    </w:p>
    <w:p w:rsidR="00227659" w:rsidRDefault="00F235DD">
      <w:pPr>
        <w:pStyle w:val="Textoindependiente"/>
        <w:spacing w:after="0" w:line="480" w:lineRule="auto"/>
        <w:ind w:left="284" w:hanging="284"/>
        <w:jc w:val="both"/>
        <w:rPr>
          <w:color w:val="000000"/>
        </w:rPr>
      </w:pPr>
      <w:r>
        <w:rPr>
          <w:color w:val="000000"/>
          <w:lang w:val="en-GB"/>
        </w:rPr>
        <w:t xml:space="preserve">Andresen, H. (2005). Role Play and Language Development in the Preschool Years. </w:t>
      </w:r>
      <w:r>
        <w:rPr>
          <w:i/>
          <w:color w:val="000000"/>
          <w:lang w:val="es-AR"/>
        </w:rPr>
        <w:t>Culture Psychology</w:t>
      </w:r>
      <w:r>
        <w:rPr>
          <w:color w:val="000000"/>
          <w:lang w:val="es-AR"/>
        </w:rPr>
        <w:t>, 11, 387- 414.</w:t>
      </w:r>
    </w:p>
    <w:p w:rsidR="00227659" w:rsidRDefault="00F235DD">
      <w:pPr>
        <w:pStyle w:val="Geenafstand"/>
        <w:spacing w:line="480" w:lineRule="auto"/>
        <w:ind w:left="284" w:right="-28" w:hanging="284"/>
        <w:jc w:val="both"/>
        <w:rPr>
          <w:color w:val="000000"/>
          <w:lang w:val="en-US"/>
        </w:rPr>
      </w:pPr>
      <w:r>
        <w:rPr>
          <w:rFonts w:ascii="Times New Roman" w:hAnsi="Times New Roman" w:cs="Times New Roman"/>
          <w:color w:val="000000"/>
          <w:sz w:val="24"/>
          <w:szCs w:val="24"/>
          <w:lang w:val="es-ES"/>
        </w:rPr>
        <w:t xml:space="preserve">Aristóteles (2005). </w:t>
      </w:r>
      <w:r>
        <w:rPr>
          <w:rFonts w:ascii="Times New Roman" w:hAnsi="Times New Roman" w:cs="Times New Roman"/>
          <w:i/>
          <w:color w:val="000000"/>
          <w:sz w:val="24"/>
          <w:szCs w:val="24"/>
          <w:lang w:val="es-ES"/>
        </w:rPr>
        <w:t>El arte de la Retórica</w:t>
      </w:r>
      <w:r>
        <w:rPr>
          <w:rFonts w:ascii="Times New Roman" w:hAnsi="Times New Roman" w:cs="Times New Roman"/>
          <w:color w:val="000000"/>
          <w:sz w:val="24"/>
          <w:szCs w:val="24"/>
          <w:lang w:val="es-ES"/>
        </w:rPr>
        <w:t xml:space="preserve">. </w:t>
      </w:r>
      <w:r>
        <w:rPr>
          <w:rFonts w:ascii="Times New Roman" w:hAnsi="Times New Roman" w:cs="Times New Roman"/>
          <w:color w:val="000000"/>
          <w:sz w:val="24"/>
          <w:szCs w:val="24"/>
        </w:rPr>
        <w:t xml:space="preserve">Buenos Aires: Eudeba. </w:t>
      </w:r>
    </w:p>
    <w:p w:rsidR="00227659" w:rsidRDefault="00F235DD">
      <w:pPr>
        <w:pStyle w:val="Textoindependiente"/>
        <w:spacing w:after="0" w:line="480" w:lineRule="auto"/>
        <w:ind w:left="284" w:hanging="284"/>
        <w:jc w:val="both"/>
        <w:rPr>
          <w:lang w:val="ca-ES"/>
        </w:rPr>
      </w:pPr>
      <w:r>
        <w:rPr>
          <w:color w:val="000000"/>
          <w:lang w:val="en-US"/>
        </w:rPr>
        <w:lastRenderedPageBreak/>
        <w:t xml:space="preserve">Bernard, S., Mercier, H. &amp; Clément, F. (2012). </w:t>
      </w:r>
      <w:r>
        <w:rPr>
          <w:color w:val="000000"/>
          <w:lang w:val="en-GB"/>
        </w:rPr>
        <w:t>The power of well-connected arguments: Early sensitivity to the connective because</w:t>
      </w:r>
      <w:r>
        <w:rPr>
          <w:i/>
          <w:color w:val="000000"/>
          <w:lang w:val="en-GB"/>
        </w:rPr>
        <w:t xml:space="preserve">. </w:t>
      </w:r>
      <w:r>
        <w:rPr>
          <w:i/>
          <w:color w:val="000000"/>
          <w:lang w:val="es-AR"/>
        </w:rPr>
        <w:t>Journal of Experimental Child Psychology</w:t>
      </w:r>
      <w:r>
        <w:rPr>
          <w:color w:val="000000"/>
          <w:lang w:val="es-AR"/>
        </w:rPr>
        <w:t xml:space="preserve">, 111, 128-135. </w:t>
      </w:r>
    </w:p>
    <w:p w:rsidR="00227659" w:rsidRDefault="00F235DD">
      <w:pPr>
        <w:pStyle w:val="Textoindependiente"/>
        <w:spacing w:line="480" w:lineRule="auto"/>
        <w:ind w:left="284" w:right="-28" w:hanging="284"/>
        <w:rPr>
          <w:color w:val="000000"/>
          <w:lang w:val="en-US"/>
        </w:rPr>
      </w:pPr>
      <w:r>
        <w:rPr>
          <w:lang w:val="ca-ES"/>
        </w:rPr>
        <w:t xml:space="preserve">Calsamiglia, H., &amp; Tusón, A. (2007). </w:t>
      </w:r>
      <w:r>
        <w:rPr>
          <w:i/>
          <w:iCs/>
          <w:lang w:val="es-AR"/>
        </w:rPr>
        <w:t>Las cosas del decir. Manual de análisis del discurso</w:t>
      </w:r>
      <w:r>
        <w:rPr>
          <w:iCs/>
          <w:lang w:val="ca-ES"/>
        </w:rPr>
        <w:t>. B</w:t>
      </w:r>
      <w:r>
        <w:rPr>
          <w:lang w:val="ca-ES"/>
        </w:rPr>
        <w:t xml:space="preserve">arcelona: Ariel. </w:t>
      </w:r>
    </w:p>
    <w:p w:rsidR="00227659" w:rsidRDefault="00F235DD">
      <w:pPr>
        <w:pStyle w:val="Textoindependiente"/>
        <w:spacing w:after="0" w:line="480" w:lineRule="auto"/>
        <w:ind w:left="284" w:hanging="284"/>
        <w:jc w:val="both"/>
        <w:rPr>
          <w:color w:val="000000"/>
          <w:lang w:val="en-GB"/>
        </w:rPr>
      </w:pPr>
      <w:r>
        <w:rPr>
          <w:color w:val="000000"/>
          <w:lang w:val="en-US"/>
        </w:rPr>
        <w:t xml:space="preserve">Cicerón (2001). </w:t>
      </w:r>
      <w:r>
        <w:rPr>
          <w:i/>
          <w:color w:val="000000"/>
          <w:lang w:val="en-US"/>
        </w:rPr>
        <w:t>On the Ideal Orator</w:t>
      </w:r>
      <w:r>
        <w:rPr>
          <w:color w:val="000000"/>
          <w:lang w:val="en-US"/>
        </w:rPr>
        <w:t xml:space="preserve">. Trans. </w:t>
      </w:r>
      <w:r>
        <w:rPr>
          <w:color w:val="000000"/>
          <w:lang w:val="en-GB"/>
        </w:rPr>
        <w:t>J. May &amp; J. Wisse. New York: Oxford University Press.</w:t>
      </w:r>
    </w:p>
    <w:p w:rsidR="00227659" w:rsidRDefault="00F235DD">
      <w:pPr>
        <w:pStyle w:val="Textoindependiente"/>
        <w:spacing w:after="0" w:line="480" w:lineRule="auto"/>
        <w:ind w:left="284" w:hanging="284"/>
        <w:jc w:val="both"/>
      </w:pPr>
      <w:r>
        <w:rPr>
          <w:color w:val="000000"/>
          <w:lang w:val="en-GB"/>
        </w:rPr>
        <w:t xml:space="preserve">Clément, F. (2010). To Trust or not to Trust? Children’s Social Epistemology. </w:t>
      </w:r>
      <w:r>
        <w:rPr>
          <w:i/>
          <w:color w:val="000000"/>
          <w:lang w:val="en-US"/>
        </w:rPr>
        <w:t>Review of Philosophy and Psychology</w:t>
      </w:r>
      <w:r>
        <w:rPr>
          <w:color w:val="000000"/>
          <w:lang w:val="en-GB"/>
        </w:rPr>
        <w:t>, 1 (4), 531-549.</w:t>
      </w:r>
    </w:p>
    <w:p w:rsidR="00227659" w:rsidRDefault="00F235DD">
      <w:pPr>
        <w:pStyle w:val="17References"/>
        <w:spacing w:after="0" w:line="480" w:lineRule="auto"/>
        <w:rPr>
          <w:color w:val="000000"/>
          <w:lang w:val="es-AR"/>
        </w:rPr>
      </w:pPr>
      <w:r>
        <w:rPr>
          <w:sz w:val="24"/>
          <w:lang w:val="es-ES"/>
        </w:rPr>
        <w:t xml:space="preserve">Cook-Gumperz, J. (1988). </w:t>
      </w:r>
      <w:r>
        <w:rPr>
          <w:i/>
          <w:iCs/>
          <w:sz w:val="24"/>
          <w:lang w:val="es-ES"/>
        </w:rPr>
        <w:t xml:space="preserve">La construcción social de la alfabetización. </w:t>
      </w:r>
      <w:r>
        <w:rPr>
          <w:iCs/>
          <w:sz w:val="24"/>
          <w:lang w:val="es-ES"/>
        </w:rPr>
        <w:t>Madrid</w:t>
      </w:r>
      <w:r>
        <w:rPr>
          <w:sz w:val="24"/>
          <w:lang w:val="es-ES"/>
        </w:rPr>
        <w:t>: Paidós.</w:t>
      </w:r>
    </w:p>
    <w:p w:rsidR="00227659" w:rsidRDefault="00F235DD">
      <w:pPr>
        <w:pStyle w:val="Textoindependiente"/>
        <w:spacing w:after="0" w:line="480" w:lineRule="auto"/>
        <w:ind w:left="284" w:hanging="284"/>
        <w:jc w:val="both"/>
        <w:rPr>
          <w:shd w:val="clear" w:color="auto" w:fill="FFFFFF"/>
          <w:lang w:val="en-US"/>
        </w:rPr>
      </w:pPr>
      <w:r>
        <w:rPr>
          <w:color w:val="000000"/>
          <w:lang w:val="es-AR"/>
        </w:rPr>
        <w:t xml:space="preserve">Crespo, N. (1995). El desarrollo ontogenético del argumento. </w:t>
      </w:r>
      <w:r>
        <w:rPr>
          <w:i/>
          <w:color w:val="000000"/>
          <w:lang w:val="es-AR"/>
        </w:rPr>
        <w:t>Revista</w:t>
      </w:r>
      <w:r>
        <w:rPr>
          <w:color w:val="000000"/>
          <w:lang w:val="es-AR"/>
        </w:rPr>
        <w:t xml:space="preserve"> </w:t>
      </w:r>
      <w:r>
        <w:rPr>
          <w:i/>
          <w:color w:val="000000"/>
          <w:lang w:val="es-AR"/>
        </w:rPr>
        <w:t>Signos</w:t>
      </w:r>
      <w:r>
        <w:rPr>
          <w:color w:val="000000"/>
          <w:lang w:val="es-AR"/>
        </w:rPr>
        <w:t xml:space="preserve"> XVIII (37), 69-82.</w:t>
      </w:r>
    </w:p>
    <w:p w:rsidR="00227659" w:rsidRDefault="00F235DD">
      <w:pPr>
        <w:pStyle w:val="17References"/>
        <w:spacing w:after="0" w:line="480" w:lineRule="auto"/>
        <w:rPr>
          <w:color w:val="000000"/>
          <w:lang w:val="en-US"/>
        </w:rPr>
      </w:pPr>
      <w:r>
        <w:rPr>
          <w:sz w:val="24"/>
          <w:shd w:val="clear" w:color="auto" w:fill="FFFFFF"/>
          <w:lang w:val="en-US"/>
        </w:rPr>
        <w:t xml:space="preserve">Doyle, A., &amp; Connolly, J. (1989). Negotiation and enactment in social pretend play: Relations to social acceptance and social cognition. </w:t>
      </w:r>
      <w:r>
        <w:rPr>
          <w:i/>
          <w:sz w:val="24"/>
          <w:shd w:val="clear" w:color="auto" w:fill="FFFFFF"/>
          <w:lang w:val="en-US"/>
        </w:rPr>
        <w:t>Early Childhood Research Quarterly</w:t>
      </w:r>
      <w:r>
        <w:rPr>
          <w:sz w:val="24"/>
          <w:shd w:val="clear" w:color="auto" w:fill="FFFFFF"/>
          <w:lang w:val="en-US"/>
        </w:rPr>
        <w:t>, 4, 289-302.</w:t>
      </w:r>
    </w:p>
    <w:p w:rsidR="00227659" w:rsidRDefault="00F235DD">
      <w:pPr>
        <w:pStyle w:val="Textoindependiente"/>
        <w:spacing w:after="0" w:line="480" w:lineRule="auto"/>
        <w:ind w:left="284" w:hanging="284"/>
        <w:jc w:val="both"/>
        <w:rPr>
          <w:color w:val="000000"/>
          <w:lang w:val="en-US"/>
        </w:rPr>
      </w:pPr>
      <w:r>
        <w:rPr>
          <w:color w:val="000000"/>
          <w:lang w:val="en-US"/>
        </w:rPr>
        <w:t xml:space="preserve">Dunn, J. &amp; Munn, P. (1986). Sibling quarrels and maternal intervention: Individual differences in understanding and aggression. </w:t>
      </w:r>
      <w:r>
        <w:rPr>
          <w:i/>
          <w:color w:val="000000"/>
          <w:lang w:val="en-US"/>
        </w:rPr>
        <w:t>Journal of Child Psychology and Psychiatry and Allied Disciplines</w:t>
      </w:r>
      <w:r>
        <w:rPr>
          <w:color w:val="000000"/>
          <w:lang w:val="en-US"/>
        </w:rPr>
        <w:t>, 27(5), 583-595.</w:t>
      </w:r>
    </w:p>
    <w:p w:rsidR="00227659" w:rsidRDefault="00F235DD">
      <w:pPr>
        <w:spacing w:line="480" w:lineRule="auto"/>
        <w:ind w:left="284" w:right="54" w:hanging="284"/>
        <w:jc w:val="both"/>
        <w:rPr>
          <w:color w:val="000000"/>
          <w:lang w:val="en-GB"/>
        </w:rPr>
      </w:pPr>
      <w:r>
        <w:rPr>
          <w:color w:val="000000"/>
          <w:lang w:val="en-US"/>
        </w:rPr>
        <w:t xml:space="preserve">Eisenberg, A. R. (1987). Learning to argue with parents and peers. </w:t>
      </w:r>
      <w:r>
        <w:rPr>
          <w:i/>
          <w:color w:val="000000"/>
          <w:lang w:val="en-GB"/>
        </w:rPr>
        <w:t xml:space="preserve">Argumentation, </w:t>
      </w:r>
      <w:r>
        <w:rPr>
          <w:color w:val="000000"/>
          <w:lang w:val="en-GB"/>
        </w:rPr>
        <w:t>1 (2), 113-125.</w:t>
      </w:r>
    </w:p>
    <w:p w:rsidR="00227659" w:rsidRDefault="00F235DD">
      <w:pPr>
        <w:pStyle w:val="Textoindependiente"/>
        <w:spacing w:after="0" w:line="480" w:lineRule="auto"/>
        <w:ind w:left="284" w:hanging="284"/>
        <w:jc w:val="both"/>
        <w:rPr>
          <w:color w:val="000000"/>
          <w:lang w:val="es-AR"/>
        </w:rPr>
      </w:pPr>
      <w:r>
        <w:rPr>
          <w:color w:val="000000"/>
          <w:lang w:val="en-GB"/>
        </w:rPr>
        <w:t xml:space="preserve">Evans, J. (2010). </w:t>
      </w:r>
      <w:r>
        <w:rPr>
          <w:i/>
          <w:color w:val="000000"/>
          <w:lang w:val="en-US"/>
        </w:rPr>
        <w:t>Thinking Twice. Two Minds in One Brain</w:t>
      </w:r>
      <w:r>
        <w:rPr>
          <w:color w:val="000000"/>
          <w:lang w:val="en-US"/>
        </w:rPr>
        <w:t>. New York: Oxford University Press.</w:t>
      </w:r>
    </w:p>
    <w:p w:rsidR="00227659" w:rsidRDefault="00F235DD">
      <w:pPr>
        <w:pStyle w:val="Textoindependiente"/>
        <w:spacing w:after="0" w:line="480" w:lineRule="auto"/>
        <w:ind w:left="284" w:hanging="284"/>
        <w:jc w:val="both"/>
        <w:rPr>
          <w:color w:val="000000"/>
          <w:lang w:val="es-AR"/>
        </w:rPr>
      </w:pPr>
      <w:r>
        <w:rPr>
          <w:color w:val="000000"/>
          <w:lang w:val="es-AR"/>
        </w:rPr>
        <w:t xml:space="preserve">Faigenbaum, G. (2012). El desarrollo de las habilidades argumentativas. En J. A. Castorina &amp; M. Carretero (Comps.) </w:t>
      </w:r>
      <w:r>
        <w:rPr>
          <w:i/>
          <w:color w:val="000000"/>
          <w:lang w:val="es-AR"/>
        </w:rPr>
        <w:t xml:space="preserve">Desarrollo Cognitivo y Educación [I]. Los inicios del conocimiento </w:t>
      </w:r>
      <w:r>
        <w:rPr>
          <w:color w:val="000000"/>
          <w:lang w:val="es-AR"/>
        </w:rPr>
        <w:t>(292 -313)</w:t>
      </w:r>
      <w:r>
        <w:rPr>
          <w:i/>
          <w:color w:val="000000"/>
          <w:lang w:val="es-AR"/>
        </w:rPr>
        <w:t xml:space="preserve">. </w:t>
      </w:r>
      <w:r>
        <w:rPr>
          <w:color w:val="000000"/>
          <w:lang w:val="es-AR"/>
        </w:rPr>
        <w:t>Buenos Aires: Paidós.</w:t>
      </w:r>
    </w:p>
    <w:p w:rsidR="00227659" w:rsidRDefault="00F235DD">
      <w:pPr>
        <w:pStyle w:val="Textoindependiente"/>
        <w:spacing w:after="0" w:line="480" w:lineRule="auto"/>
        <w:ind w:left="284" w:hanging="284"/>
        <w:jc w:val="both"/>
        <w:rPr>
          <w:color w:val="000000"/>
          <w:lang w:val="en-GB"/>
        </w:rPr>
      </w:pPr>
      <w:r>
        <w:rPr>
          <w:color w:val="000000"/>
          <w:lang w:val="es-AR"/>
        </w:rPr>
        <w:lastRenderedPageBreak/>
        <w:t>Glaser, B. &amp; Strauss, A. (1967).</w:t>
      </w:r>
      <w:r>
        <w:rPr>
          <w:i/>
          <w:color w:val="000000"/>
          <w:lang w:val="es-AR"/>
        </w:rPr>
        <w:t xml:space="preserve"> </w:t>
      </w:r>
      <w:r>
        <w:rPr>
          <w:i/>
          <w:color w:val="000000"/>
          <w:lang w:val="en-US"/>
        </w:rPr>
        <w:t>The discovery of grounded theory</w:t>
      </w:r>
      <w:r>
        <w:rPr>
          <w:color w:val="000000"/>
          <w:lang w:val="en-US"/>
        </w:rPr>
        <w:t>. Chicago: Aldine Publishing Company.</w:t>
      </w:r>
    </w:p>
    <w:p w:rsidR="00227659" w:rsidRDefault="00F235DD">
      <w:pPr>
        <w:pStyle w:val="17References"/>
        <w:spacing w:after="0" w:line="480" w:lineRule="auto"/>
        <w:rPr>
          <w:color w:val="000000"/>
          <w:sz w:val="24"/>
          <w:lang w:val="en-GB"/>
        </w:rPr>
      </w:pPr>
      <w:r>
        <w:rPr>
          <w:color w:val="000000"/>
          <w:sz w:val="24"/>
          <w:lang w:val="en-GB"/>
        </w:rPr>
        <w:t xml:space="preserve">Johnson, R. (2000). </w:t>
      </w:r>
      <w:r>
        <w:rPr>
          <w:i/>
          <w:color w:val="000000"/>
          <w:sz w:val="24"/>
          <w:lang w:val="en-GB"/>
        </w:rPr>
        <w:t>Manifest rationality. A Pragmatic Theory of Argument</w:t>
      </w:r>
      <w:r>
        <w:rPr>
          <w:color w:val="000000"/>
          <w:sz w:val="24"/>
          <w:lang w:val="en-GB"/>
        </w:rPr>
        <w:t>. Mahwah, New Jersey: Lawrence Erlbaum Associates, Inc.</w:t>
      </w:r>
    </w:p>
    <w:p w:rsidR="00227659" w:rsidRDefault="00F235DD">
      <w:pPr>
        <w:pStyle w:val="17References"/>
        <w:spacing w:after="0" w:line="480" w:lineRule="auto"/>
        <w:rPr>
          <w:color w:val="000000"/>
          <w:sz w:val="24"/>
          <w:lang w:val="en-US"/>
        </w:rPr>
      </w:pPr>
      <w:r>
        <w:rPr>
          <w:color w:val="000000"/>
          <w:sz w:val="24"/>
          <w:lang w:val="en-GB"/>
        </w:rPr>
        <w:t xml:space="preserve">Kuhn, D. (1992). </w:t>
      </w:r>
      <w:r>
        <w:rPr>
          <w:color w:val="000000"/>
          <w:sz w:val="24"/>
          <w:lang w:val="en-US"/>
        </w:rPr>
        <w:t xml:space="preserve">Thinking as Argument. </w:t>
      </w:r>
      <w:r>
        <w:rPr>
          <w:i/>
          <w:iCs/>
          <w:color w:val="000000"/>
          <w:sz w:val="24"/>
          <w:lang w:val="en-US"/>
        </w:rPr>
        <w:t xml:space="preserve">Harvard Educational Review. </w:t>
      </w:r>
      <w:r>
        <w:rPr>
          <w:color w:val="000000"/>
          <w:sz w:val="24"/>
          <w:lang w:val="nl-NL"/>
        </w:rPr>
        <w:t>Vol. 62 (2), 155-179.</w:t>
      </w:r>
    </w:p>
    <w:p w:rsidR="00227659" w:rsidRDefault="00F235DD">
      <w:pPr>
        <w:pStyle w:val="17References"/>
        <w:spacing w:after="0" w:line="480" w:lineRule="auto"/>
        <w:rPr>
          <w:lang w:val="es-AR"/>
        </w:rPr>
      </w:pPr>
      <w:r>
        <w:rPr>
          <w:color w:val="000000"/>
          <w:sz w:val="24"/>
          <w:lang w:val="en-US"/>
        </w:rPr>
        <w:t xml:space="preserve">Luria, A. (1995). </w:t>
      </w:r>
      <w:r>
        <w:rPr>
          <w:i/>
          <w:iCs/>
          <w:color w:val="000000"/>
          <w:sz w:val="24"/>
          <w:lang w:val="es-ES"/>
        </w:rPr>
        <w:t>Conciencia y lenguaje</w:t>
      </w:r>
      <w:r>
        <w:rPr>
          <w:color w:val="000000"/>
          <w:sz w:val="24"/>
          <w:lang w:val="es-ES"/>
        </w:rPr>
        <w:t>. Madrid: Visor.</w:t>
      </w:r>
    </w:p>
    <w:p w:rsidR="00227659" w:rsidRDefault="00F235DD">
      <w:pPr>
        <w:pStyle w:val="Textoindependiente"/>
        <w:spacing w:after="0" w:line="480" w:lineRule="auto"/>
        <w:ind w:left="284" w:hanging="284"/>
        <w:jc w:val="both"/>
        <w:rPr>
          <w:color w:val="000000"/>
          <w:lang w:val="en-GB"/>
        </w:rPr>
      </w:pPr>
      <w:r>
        <w:rPr>
          <w:lang w:val="es-AR"/>
        </w:rPr>
        <w:t xml:space="preserve">Manrique, M. S. y Rosemberg, C. R. (2009). </w:t>
      </w:r>
      <w:r>
        <w:t xml:space="preserve">El lenguaje infantil en situaciones de juego en el Jardín de Infantes. </w:t>
      </w:r>
      <w:r>
        <w:rPr>
          <w:i/>
          <w:lang w:val="en-US"/>
        </w:rPr>
        <w:t>SUMMA Psicológica UST</w:t>
      </w:r>
      <w:r>
        <w:rPr>
          <w:lang w:val="en-US"/>
        </w:rPr>
        <w:t xml:space="preserve">, </w:t>
      </w:r>
      <w:r>
        <w:rPr>
          <w:i/>
          <w:lang w:val="en-US"/>
        </w:rPr>
        <w:t>6</w:t>
      </w:r>
      <w:r>
        <w:rPr>
          <w:lang w:val="en-US"/>
        </w:rPr>
        <w:t xml:space="preserve"> (2), 105 – 118.</w:t>
      </w:r>
    </w:p>
    <w:p w:rsidR="00227659" w:rsidRDefault="00F235DD">
      <w:pPr>
        <w:pStyle w:val="17References"/>
        <w:spacing w:after="0" w:line="480" w:lineRule="auto"/>
        <w:rPr>
          <w:color w:val="000000"/>
          <w:sz w:val="24"/>
          <w:lang w:val="en-GB"/>
        </w:rPr>
      </w:pPr>
      <w:r>
        <w:rPr>
          <w:color w:val="000000"/>
          <w:sz w:val="24"/>
          <w:lang w:val="en-GB"/>
        </w:rPr>
        <w:t xml:space="preserve">Mercier, H. &amp; Sperber, D. (2011). Why do human reason? Arguments for an argumentative theory. </w:t>
      </w:r>
      <w:r>
        <w:rPr>
          <w:i/>
          <w:color w:val="000000"/>
          <w:sz w:val="24"/>
          <w:lang w:val="en-US"/>
        </w:rPr>
        <w:t>Behavioral and Brain Sciences</w:t>
      </w:r>
      <w:r>
        <w:rPr>
          <w:color w:val="000000"/>
          <w:sz w:val="24"/>
          <w:lang w:val="en-US"/>
        </w:rPr>
        <w:t xml:space="preserve"> 34 (02), 57-74.</w:t>
      </w:r>
    </w:p>
    <w:p w:rsidR="00227659" w:rsidRDefault="00F235DD">
      <w:pPr>
        <w:pStyle w:val="17References"/>
        <w:spacing w:after="0" w:line="480" w:lineRule="auto"/>
        <w:rPr>
          <w:sz w:val="24"/>
          <w:lang w:val="en-GB"/>
        </w:rPr>
      </w:pPr>
      <w:r>
        <w:rPr>
          <w:color w:val="000000"/>
          <w:sz w:val="24"/>
          <w:lang w:val="en-GB"/>
        </w:rPr>
        <w:t xml:space="preserve">Mercier, H. (2011). Reasoning serves argumentation in children. </w:t>
      </w:r>
      <w:r>
        <w:rPr>
          <w:i/>
          <w:color w:val="000000"/>
          <w:sz w:val="24"/>
          <w:lang w:val="en-GB"/>
        </w:rPr>
        <w:t>Cognitive Development</w:t>
      </w:r>
      <w:r>
        <w:rPr>
          <w:color w:val="000000"/>
          <w:sz w:val="24"/>
          <w:lang w:val="en-GB"/>
        </w:rPr>
        <w:t>, 26 (3), 177-191.</w:t>
      </w:r>
    </w:p>
    <w:p w:rsidR="00227659" w:rsidRDefault="00F235DD">
      <w:pPr>
        <w:pStyle w:val="17References"/>
        <w:spacing w:after="0" w:line="480" w:lineRule="auto"/>
        <w:rPr>
          <w:sz w:val="24"/>
        </w:rPr>
      </w:pPr>
      <w:r>
        <w:rPr>
          <w:sz w:val="24"/>
          <w:lang w:val="en-GB"/>
        </w:rPr>
        <w:t xml:space="preserve">Migdalek, M. J., Rosemberg, C. R. &amp; J. E. Arrúe (2013). The Linguistic Construction of Dramatic Play: A Study in the Homes of Young Children From Middle Income and low Income Populations in Buenos Aires, Argentina. Poster presentado en </w:t>
      </w:r>
      <w:r>
        <w:rPr>
          <w:i/>
          <w:iCs/>
          <w:sz w:val="24"/>
          <w:lang w:val="en-GB"/>
        </w:rPr>
        <w:t xml:space="preserve">Biennial Meeting of the Society for Research in Child Development, </w:t>
      </w:r>
      <w:r>
        <w:rPr>
          <w:sz w:val="24"/>
          <w:lang w:val="en-GB"/>
        </w:rPr>
        <w:t xml:space="preserve">Seattle, Estados Unidos, 18 al 20 de abril. </w:t>
      </w:r>
    </w:p>
    <w:p w:rsidR="00227659" w:rsidRDefault="00F235DD">
      <w:pPr>
        <w:pStyle w:val="Sinespaciado"/>
        <w:spacing w:line="480" w:lineRule="auto"/>
        <w:ind w:left="284" w:hanging="284"/>
        <w:jc w:val="both"/>
        <w:rPr>
          <w:color w:val="000000"/>
          <w:sz w:val="24"/>
          <w:lang w:val="en-US"/>
        </w:rPr>
      </w:pPr>
      <w:r>
        <w:rPr>
          <w:rFonts w:ascii="Times New Roman" w:eastAsia="Times New Roman" w:hAnsi="Times New Roman" w:cs="Times New Roman"/>
          <w:sz w:val="24"/>
          <w:szCs w:val="24"/>
        </w:rPr>
        <w:t xml:space="preserve">Molina, M.E. (2012). Estudio de las emociones en la argumentación infantil. </w:t>
      </w:r>
      <w:r>
        <w:rPr>
          <w:rFonts w:ascii="Times New Roman" w:eastAsia="Times New Roman" w:hAnsi="Times New Roman" w:cs="Times New Roman"/>
          <w:i/>
          <w:sz w:val="24"/>
          <w:szCs w:val="24"/>
        </w:rPr>
        <w:t xml:space="preserve">RILL Nueva época, Prácticas discursivas a través de las disciplinas, </w:t>
      </w:r>
      <w:r>
        <w:rPr>
          <w:rFonts w:ascii="Times New Roman" w:eastAsia="Times New Roman" w:hAnsi="Times New Roman" w:cs="Times New Roman"/>
          <w:sz w:val="24"/>
          <w:szCs w:val="24"/>
        </w:rPr>
        <w:t>Nº 17 (1/2), 140-150.</w:t>
      </w:r>
    </w:p>
    <w:p w:rsidR="00227659" w:rsidRDefault="00F235DD">
      <w:pPr>
        <w:pStyle w:val="17References"/>
        <w:spacing w:after="0" w:line="480" w:lineRule="auto"/>
        <w:rPr>
          <w:sz w:val="24"/>
          <w:lang w:val="en-US"/>
        </w:rPr>
      </w:pPr>
      <w:r>
        <w:rPr>
          <w:color w:val="000000"/>
          <w:sz w:val="24"/>
          <w:lang w:val="en-US"/>
        </w:rPr>
        <w:t xml:space="preserve">Nelson, K. (1996). </w:t>
      </w:r>
      <w:r>
        <w:rPr>
          <w:i/>
          <w:color w:val="000000"/>
          <w:sz w:val="24"/>
          <w:lang w:val="en-US"/>
        </w:rPr>
        <w:t>Language in cognitive development</w:t>
      </w:r>
      <w:r>
        <w:rPr>
          <w:color w:val="000000"/>
          <w:sz w:val="24"/>
          <w:lang w:val="en-US"/>
        </w:rPr>
        <w:t xml:space="preserve">. </w:t>
      </w:r>
      <w:r>
        <w:rPr>
          <w:i/>
          <w:color w:val="000000"/>
          <w:sz w:val="24"/>
          <w:lang w:val="en-US"/>
        </w:rPr>
        <w:t>The emergence of the mediated mind</w:t>
      </w:r>
      <w:r>
        <w:rPr>
          <w:color w:val="000000"/>
          <w:sz w:val="24"/>
          <w:lang w:val="en-US"/>
        </w:rPr>
        <w:t xml:space="preserve">. Nueva York: Cambridge University Press. </w:t>
      </w:r>
    </w:p>
    <w:p w:rsidR="00227659" w:rsidRDefault="00F235DD">
      <w:pPr>
        <w:pStyle w:val="Sinespaciado"/>
        <w:spacing w:line="480" w:lineRule="auto"/>
        <w:ind w:left="284" w:hanging="284"/>
        <w:jc w:val="both"/>
        <w:rPr>
          <w:color w:val="000000"/>
          <w:sz w:val="24"/>
          <w:lang w:val="en-US"/>
        </w:rPr>
      </w:pPr>
      <w:r>
        <w:rPr>
          <w:rFonts w:ascii="Times New Roman" w:hAnsi="Times New Roman" w:cs="Times New Roman"/>
          <w:sz w:val="24"/>
          <w:szCs w:val="24"/>
          <w:lang w:val="en-US"/>
        </w:rPr>
        <w:t xml:space="preserve">Pellegrini, A. (1985). Relations between preschool children’s symbolic play and literate behavior. En L. Galda y A. Pellegrini (Eds.) </w:t>
      </w:r>
      <w:r>
        <w:rPr>
          <w:rFonts w:ascii="Times New Roman" w:hAnsi="Times New Roman" w:cs="Times New Roman"/>
          <w:i/>
          <w:sz w:val="24"/>
          <w:szCs w:val="24"/>
          <w:lang w:val="en-US"/>
        </w:rPr>
        <w:t xml:space="preserve">Play, language, and stories: The development of children´s literate behavior </w:t>
      </w:r>
      <w:r>
        <w:rPr>
          <w:rFonts w:ascii="Times New Roman" w:hAnsi="Times New Roman" w:cs="Times New Roman"/>
          <w:sz w:val="24"/>
          <w:szCs w:val="24"/>
          <w:lang w:val="en-US"/>
        </w:rPr>
        <w:t>(pp.79-97)</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Norwood, J. Ablex.</w:t>
      </w:r>
    </w:p>
    <w:p w:rsidR="00227659" w:rsidRDefault="00F235DD">
      <w:pPr>
        <w:pStyle w:val="17References"/>
        <w:spacing w:after="0" w:line="480" w:lineRule="auto"/>
        <w:rPr>
          <w:color w:val="000000"/>
          <w:sz w:val="24"/>
          <w:lang w:val="en-US"/>
        </w:rPr>
      </w:pPr>
      <w:r>
        <w:rPr>
          <w:color w:val="000000"/>
          <w:sz w:val="24"/>
          <w:lang w:val="en-US"/>
        </w:rPr>
        <w:t xml:space="preserve">Pellegrini, A. (2008). </w:t>
      </w:r>
      <w:r>
        <w:rPr>
          <w:i/>
          <w:color w:val="000000"/>
          <w:sz w:val="24"/>
          <w:lang w:val="en-US"/>
        </w:rPr>
        <w:t>The Role of Play in Human Development</w:t>
      </w:r>
      <w:r>
        <w:rPr>
          <w:color w:val="000000"/>
          <w:sz w:val="24"/>
          <w:lang w:val="en-US"/>
        </w:rPr>
        <w:t xml:space="preserve">. </w:t>
      </w:r>
      <w:r>
        <w:rPr>
          <w:color w:val="000000"/>
          <w:sz w:val="24"/>
          <w:lang w:val="en-GB"/>
        </w:rPr>
        <w:t>New York: Oxford University Press.</w:t>
      </w:r>
    </w:p>
    <w:p w:rsidR="00227659" w:rsidRDefault="00F235DD">
      <w:pPr>
        <w:pStyle w:val="17References"/>
        <w:spacing w:after="0" w:line="480" w:lineRule="auto"/>
        <w:rPr>
          <w:sz w:val="24"/>
        </w:rPr>
      </w:pPr>
      <w:r>
        <w:rPr>
          <w:color w:val="000000"/>
          <w:sz w:val="24"/>
          <w:lang w:val="en-US"/>
        </w:rPr>
        <w:lastRenderedPageBreak/>
        <w:t xml:space="preserve">Perelman, Ch. &amp; Olbrechts Tyteca, L. (1989). </w:t>
      </w:r>
      <w:r>
        <w:rPr>
          <w:i/>
          <w:color w:val="000000"/>
          <w:sz w:val="24"/>
          <w:lang w:val="es-AR"/>
        </w:rPr>
        <w:t>Tratado de la argumentación. La nueva retórica</w:t>
      </w:r>
      <w:r>
        <w:rPr>
          <w:color w:val="000000"/>
          <w:sz w:val="24"/>
          <w:lang w:val="es-AR"/>
        </w:rPr>
        <w:t>. Madrid: Gredos.</w:t>
      </w:r>
    </w:p>
    <w:p w:rsidR="00227659" w:rsidRDefault="00F235DD">
      <w:pPr>
        <w:pStyle w:val="Sinespaciado"/>
        <w:spacing w:line="480" w:lineRule="auto"/>
        <w:ind w:left="284" w:hanging="284"/>
        <w:jc w:val="both"/>
        <w:rPr>
          <w:color w:val="000000"/>
          <w:sz w:val="24"/>
        </w:rPr>
      </w:pPr>
      <w:r>
        <w:rPr>
          <w:rFonts w:ascii="Times New Roman" w:hAnsi="Times New Roman" w:cs="Times New Roman"/>
          <w:sz w:val="24"/>
          <w:szCs w:val="24"/>
        </w:rPr>
        <w:t>Peronard, M. (1992). Antecedentes ontogenéticos de la argumentación. En E. L. Traill (Eds.) S</w:t>
      </w:r>
      <w:r>
        <w:rPr>
          <w:rFonts w:ascii="Times New Roman" w:hAnsi="Times New Roman" w:cs="Times New Roman"/>
          <w:i/>
          <w:sz w:val="24"/>
          <w:szCs w:val="24"/>
        </w:rPr>
        <w:t>cripta philologica: in honorem Juan M. Lope Blanch</w:t>
      </w:r>
      <w:r>
        <w:rPr>
          <w:rFonts w:ascii="Times New Roman" w:hAnsi="Times New Roman" w:cs="Times New Roman"/>
          <w:sz w:val="24"/>
          <w:szCs w:val="24"/>
        </w:rPr>
        <w:t>, Vol. 3, 417-443. México: Universidad Nacional Autónoma de México.</w:t>
      </w:r>
    </w:p>
    <w:p w:rsidR="00227659" w:rsidRDefault="00F235DD">
      <w:pPr>
        <w:pStyle w:val="17References"/>
        <w:spacing w:after="0" w:line="480" w:lineRule="auto"/>
        <w:rPr>
          <w:color w:val="000000"/>
          <w:sz w:val="24"/>
          <w:lang w:val="es-AR"/>
        </w:rPr>
      </w:pPr>
      <w:r>
        <w:rPr>
          <w:color w:val="000000"/>
          <w:sz w:val="24"/>
          <w:lang w:val="es-AR"/>
        </w:rPr>
        <w:t xml:space="preserve">Plantin, C. (2002). </w:t>
      </w:r>
      <w:r>
        <w:rPr>
          <w:i/>
          <w:color w:val="000000"/>
          <w:sz w:val="24"/>
          <w:lang w:val="es-ES"/>
        </w:rPr>
        <w:t>La argumentación</w:t>
      </w:r>
      <w:r>
        <w:rPr>
          <w:color w:val="000000"/>
          <w:sz w:val="24"/>
          <w:lang w:val="es-ES"/>
        </w:rPr>
        <w:t>. Barcelona: Ariel.</w:t>
      </w:r>
    </w:p>
    <w:p w:rsidR="00227659" w:rsidRDefault="00F235DD">
      <w:pPr>
        <w:pStyle w:val="17References"/>
        <w:spacing w:line="480" w:lineRule="auto"/>
        <w:rPr>
          <w:color w:val="000000"/>
          <w:sz w:val="24"/>
          <w:lang w:val="en-US"/>
        </w:rPr>
      </w:pPr>
      <w:r>
        <w:rPr>
          <w:color w:val="000000"/>
          <w:sz w:val="24"/>
          <w:lang w:val="es-AR"/>
        </w:rPr>
        <w:t xml:space="preserve">Plantin, C. (2012). </w:t>
      </w:r>
      <w:r>
        <w:rPr>
          <w:i/>
          <w:color w:val="000000"/>
          <w:sz w:val="24"/>
          <w:lang w:val="es-AR"/>
        </w:rPr>
        <w:t>La argumentación. Historia, Teoría, Perspectivas</w:t>
      </w:r>
      <w:r>
        <w:rPr>
          <w:color w:val="000000"/>
          <w:sz w:val="24"/>
          <w:lang w:val="es-AR"/>
        </w:rPr>
        <w:t xml:space="preserve">. </w:t>
      </w:r>
      <w:r>
        <w:rPr>
          <w:color w:val="000000"/>
          <w:sz w:val="24"/>
          <w:lang w:val="en-US"/>
        </w:rPr>
        <w:t xml:space="preserve">Buenos Aires: Biblos. </w:t>
      </w:r>
    </w:p>
    <w:p w:rsidR="00227659" w:rsidRDefault="00F235DD">
      <w:pPr>
        <w:pStyle w:val="17References"/>
        <w:spacing w:after="0" w:line="480" w:lineRule="auto"/>
        <w:rPr>
          <w:color w:val="000000"/>
          <w:sz w:val="24"/>
          <w:lang w:val="es-AR"/>
        </w:rPr>
      </w:pPr>
      <w:r>
        <w:rPr>
          <w:color w:val="000000"/>
          <w:sz w:val="24"/>
          <w:lang w:val="en-US"/>
        </w:rPr>
        <w:t xml:space="preserve">Quintiliano, (2001). </w:t>
      </w:r>
      <w:r>
        <w:rPr>
          <w:i/>
          <w:color w:val="000000"/>
          <w:sz w:val="24"/>
        </w:rPr>
        <w:t>The Orator’s Education. Books 11-12</w:t>
      </w:r>
      <w:r>
        <w:rPr>
          <w:color w:val="000000"/>
          <w:sz w:val="24"/>
        </w:rPr>
        <w:t xml:space="preserve">. Trans. D. Russell. </w:t>
      </w:r>
      <w:r>
        <w:rPr>
          <w:color w:val="000000"/>
          <w:sz w:val="24"/>
          <w:lang w:val="es-AR"/>
        </w:rPr>
        <w:t>Cambridge, Mass.: Harvard University Press.</w:t>
      </w:r>
    </w:p>
    <w:p w:rsidR="00227659" w:rsidRDefault="00F235DD">
      <w:pPr>
        <w:pStyle w:val="17References"/>
        <w:spacing w:after="0" w:line="480" w:lineRule="auto"/>
        <w:rPr>
          <w:lang w:val="en-US"/>
        </w:rPr>
      </w:pPr>
      <w:r>
        <w:rPr>
          <w:color w:val="000000"/>
          <w:sz w:val="24"/>
          <w:lang w:val="es-AR"/>
        </w:rPr>
        <w:t xml:space="preserve">Rosemberg, C.R. (2008). </w:t>
      </w:r>
      <w:r>
        <w:rPr>
          <w:rStyle w:val="Textoennegrita"/>
          <w:b w:val="0"/>
          <w:bCs w:val="0"/>
          <w:color w:val="000000"/>
          <w:sz w:val="24"/>
          <w:lang w:val="es-AR"/>
        </w:rPr>
        <w:t>El lenguaje y el juego en la educación infantil</w:t>
      </w:r>
      <w:r>
        <w:rPr>
          <w:color w:val="000000"/>
          <w:sz w:val="24"/>
          <w:lang w:val="es-AR"/>
        </w:rPr>
        <w:t xml:space="preserve">. En Sarlé, P. (Coord.), </w:t>
      </w:r>
      <w:r>
        <w:rPr>
          <w:rStyle w:val="Textoennegrita"/>
          <w:b w:val="0"/>
          <w:bCs w:val="0"/>
          <w:i/>
          <w:iCs/>
          <w:color w:val="000000"/>
          <w:sz w:val="24"/>
          <w:lang w:val="es-AR"/>
        </w:rPr>
        <w:t xml:space="preserve">Enseñar en clave de juego. </w:t>
      </w:r>
      <w:r>
        <w:rPr>
          <w:i/>
          <w:iCs/>
          <w:color w:val="000000"/>
          <w:sz w:val="24"/>
          <w:lang w:val="es-AR"/>
        </w:rPr>
        <w:t>Enlazando juegos y contenidos.</w:t>
      </w:r>
      <w:r>
        <w:rPr>
          <w:color w:val="000000"/>
          <w:sz w:val="24"/>
          <w:lang w:val="es-AR"/>
        </w:rPr>
        <w:t xml:space="preserve"> </w:t>
      </w:r>
      <w:r>
        <w:rPr>
          <w:color w:val="000000"/>
          <w:sz w:val="24"/>
          <w:lang w:val="en-US"/>
        </w:rPr>
        <w:t>(pp. 61-75). Buenos Aires: Novedades Educativas.</w:t>
      </w:r>
    </w:p>
    <w:p w:rsidR="00227659" w:rsidRDefault="00F235DD">
      <w:pPr>
        <w:pStyle w:val="Textoindependiente"/>
        <w:spacing w:after="0" w:line="480" w:lineRule="auto"/>
        <w:ind w:left="284" w:hanging="284"/>
        <w:jc w:val="both"/>
        <w:rPr>
          <w:lang w:val="es-AR"/>
        </w:rPr>
      </w:pPr>
      <w:r>
        <w:rPr>
          <w:lang w:val="en-US"/>
        </w:rPr>
        <w:t xml:space="preserve">Sacks, H. Schegloff, E. A., &amp; Jefferson G. (1974). A simplest systematics for the of turn-taking for conversation. </w:t>
      </w:r>
      <w:r>
        <w:rPr>
          <w:i/>
          <w:lang w:val="es-AR"/>
        </w:rPr>
        <w:t>Language</w:t>
      </w:r>
      <w:r>
        <w:rPr>
          <w:lang w:val="es-AR"/>
        </w:rPr>
        <w:t>, 50, 696-735.</w:t>
      </w:r>
    </w:p>
    <w:p w:rsidR="00DA7D43" w:rsidRPr="00DA7D43" w:rsidRDefault="00DA7D43" w:rsidP="00DA7D43">
      <w:pPr>
        <w:pStyle w:val="17References"/>
        <w:spacing w:after="0" w:line="480" w:lineRule="auto"/>
        <w:rPr>
          <w:color w:val="000000"/>
          <w:sz w:val="24"/>
          <w:lang w:val="es-AR"/>
        </w:rPr>
      </w:pPr>
      <w:r w:rsidRPr="00DA7D43">
        <w:rPr>
          <w:color w:val="000000"/>
          <w:sz w:val="24"/>
          <w:lang w:val="es-AR"/>
        </w:rPr>
        <w:t xml:space="preserve">Sarlé, P. (2001). </w:t>
      </w:r>
      <w:r w:rsidRPr="00DA7D43">
        <w:rPr>
          <w:i/>
          <w:color w:val="000000"/>
          <w:sz w:val="24"/>
          <w:lang w:val="es-AR"/>
        </w:rPr>
        <w:t>Juego y aprendizaje escolar: los rasgos del juego en la educación infantil</w:t>
      </w:r>
      <w:r w:rsidRPr="00DA7D43">
        <w:rPr>
          <w:color w:val="000000"/>
          <w:sz w:val="24"/>
          <w:lang w:val="es-AR"/>
        </w:rPr>
        <w:t>. Buenos Aires: Novedades Educativas.</w:t>
      </w:r>
    </w:p>
    <w:p w:rsidR="00227659" w:rsidRDefault="00F235DD">
      <w:pPr>
        <w:pStyle w:val="17References"/>
        <w:spacing w:after="0" w:line="480" w:lineRule="auto"/>
        <w:rPr>
          <w:sz w:val="24"/>
          <w:lang w:val="en-US"/>
        </w:rPr>
      </w:pPr>
      <w:r>
        <w:rPr>
          <w:color w:val="000000"/>
          <w:sz w:val="24"/>
          <w:lang w:val="es-AR"/>
        </w:rPr>
        <w:t xml:space="preserve">Silvestri, A. (2001). La producción de la argumentación razonada en el adolescente: Las falacias de aprendizaje. En M. C. Martínez (Comp.) </w:t>
      </w:r>
      <w:r>
        <w:rPr>
          <w:i/>
          <w:color w:val="000000"/>
          <w:sz w:val="24"/>
          <w:lang w:val="es-AR"/>
        </w:rPr>
        <w:t xml:space="preserve">Aprendizaje de la argumentación razonada. Desarrollo temático de los textos expositivos y argumentativos. </w:t>
      </w:r>
      <w:r>
        <w:rPr>
          <w:color w:val="000000"/>
          <w:sz w:val="24"/>
          <w:lang w:val="es-AR"/>
        </w:rPr>
        <w:t>Volumen 3 (pp. 29-48). Cátedra UNESCO para la Lectura y la Escritura, Universidad del Valle: Cali</w:t>
      </w:r>
    </w:p>
    <w:p w:rsidR="00227659" w:rsidRDefault="00F235DD">
      <w:pPr>
        <w:pStyle w:val="17References"/>
        <w:spacing w:after="0" w:line="480" w:lineRule="auto"/>
        <w:rPr>
          <w:sz w:val="24"/>
          <w:lang w:val="en-US"/>
        </w:rPr>
      </w:pPr>
      <w:r>
        <w:rPr>
          <w:sz w:val="24"/>
          <w:lang w:val="en-US"/>
        </w:rPr>
        <w:t xml:space="preserve">Simons, H. D. &amp; Murphy, S. (1988). </w:t>
      </w:r>
      <w:r>
        <w:rPr>
          <w:sz w:val="24"/>
          <w:lang w:val="es-ES"/>
        </w:rPr>
        <w:t xml:space="preserve">Estrategias en el lenguaje hablado y en la aptitud de leer. </w:t>
      </w:r>
      <w:r>
        <w:rPr>
          <w:sz w:val="24"/>
          <w:lang w:val="es-AR"/>
        </w:rPr>
        <w:t xml:space="preserve">En J. Cook-Gumperz (Ed.), </w:t>
      </w:r>
      <w:r>
        <w:rPr>
          <w:i/>
          <w:iCs/>
          <w:sz w:val="24"/>
          <w:lang w:val="es-AR"/>
        </w:rPr>
        <w:t xml:space="preserve">La construcción social de la alfabetización </w:t>
      </w:r>
      <w:r>
        <w:rPr>
          <w:sz w:val="24"/>
          <w:lang w:val="es-AR"/>
        </w:rPr>
        <w:t xml:space="preserve">(pp. 213-233). </w:t>
      </w:r>
      <w:r>
        <w:rPr>
          <w:sz w:val="24"/>
          <w:lang w:val="en-US"/>
        </w:rPr>
        <w:t>Madrid : Paidós.</w:t>
      </w:r>
    </w:p>
    <w:p w:rsidR="00227659" w:rsidRDefault="00F235DD">
      <w:pPr>
        <w:pStyle w:val="17References"/>
        <w:spacing w:line="480" w:lineRule="auto"/>
        <w:rPr>
          <w:sz w:val="24"/>
          <w:lang w:val="en-US"/>
        </w:rPr>
      </w:pPr>
      <w:r>
        <w:rPr>
          <w:sz w:val="24"/>
          <w:lang w:val="en-US"/>
        </w:rPr>
        <w:t xml:space="preserve">Sperber, D. &amp; Mercier, H. (2012). Reasoning as a social competence. En Landemore, H. y Elster, J. (Eds.) </w:t>
      </w:r>
      <w:r>
        <w:rPr>
          <w:i/>
          <w:sz w:val="24"/>
          <w:lang w:val="en-US"/>
        </w:rPr>
        <w:t>Collective Wisdom</w:t>
      </w:r>
      <w:r>
        <w:rPr>
          <w:sz w:val="24"/>
          <w:lang w:val="en-US"/>
        </w:rPr>
        <w:t>. Cambridge  University Press.</w:t>
      </w:r>
    </w:p>
    <w:p w:rsidR="00227659" w:rsidRDefault="00F235DD">
      <w:pPr>
        <w:pStyle w:val="17References"/>
        <w:spacing w:line="480" w:lineRule="auto"/>
        <w:rPr>
          <w:color w:val="000000"/>
          <w:sz w:val="24"/>
          <w:lang w:val="en-US"/>
        </w:rPr>
      </w:pPr>
      <w:r>
        <w:rPr>
          <w:sz w:val="24"/>
          <w:lang w:val="en-US"/>
        </w:rPr>
        <w:lastRenderedPageBreak/>
        <w:t>Sperber, D. (2001). An evolutionary perspective on testimony and argumentation.</w:t>
      </w:r>
      <w:r>
        <w:rPr>
          <w:i/>
          <w:sz w:val="24"/>
          <w:lang w:val="en-US"/>
        </w:rPr>
        <w:t xml:space="preserve"> </w:t>
      </w:r>
      <w:r>
        <w:rPr>
          <w:i/>
          <w:iCs/>
          <w:sz w:val="24"/>
          <w:lang w:val="en-US"/>
        </w:rPr>
        <w:t xml:space="preserve">Philosophical Topics, </w:t>
      </w:r>
      <w:r>
        <w:rPr>
          <w:iCs/>
          <w:sz w:val="24"/>
          <w:lang w:val="en-US"/>
        </w:rPr>
        <w:t>29</w:t>
      </w:r>
      <w:r>
        <w:rPr>
          <w:sz w:val="24"/>
          <w:lang w:val="en-US"/>
        </w:rPr>
        <w:t>, 401--</w:t>
      </w:r>
      <w:r>
        <w:rPr>
          <w:rFonts w:ascii="Cambria Math" w:hAnsi="Cambria Math" w:cs="Cambria Math"/>
          <w:sz w:val="24"/>
          <w:lang w:val="en-US"/>
        </w:rPr>
        <w:t>‐</w:t>
      </w:r>
      <w:r>
        <w:rPr>
          <w:sz w:val="24"/>
          <w:lang w:val="en-US"/>
        </w:rPr>
        <w:t>413.</w:t>
      </w:r>
    </w:p>
    <w:p w:rsidR="00227659" w:rsidRDefault="00F235DD">
      <w:pPr>
        <w:pStyle w:val="17References"/>
        <w:spacing w:after="0" w:line="480" w:lineRule="auto"/>
        <w:rPr>
          <w:color w:val="000000"/>
          <w:sz w:val="24"/>
          <w:lang w:val="it-IT"/>
        </w:rPr>
      </w:pPr>
      <w:r>
        <w:rPr>
          <w:color w:val="000000"/>
          <w:sz w:val="24"/>
          <w:lang w:val="en-US"/>
        </w:rPr>
        <w:t xml:space="preserve">Stanovich, K. (2011). </w:t>
      </w:r>
      <w:r>
        <w:rPr>
          <w:i/>
          <w:color w:val="000000"/>
          <w:sz w:val="24"/>
          <w:lang w:val="en-GB"/>
        </w:rPr>
        <w:t>Rationality and Reflective Mind</w:t>
      </w:r>
      <w:r>
        <w:rPr>
          <w:color w:val="000000"/>
          <w:sz w:val="24"/>
          <w:lang w:val="en-GB"/>
        </w:rPr>
        <w:t xml:space="preserve">. New York: Oxford University Press. </w:t>
      </w:r>
    </w:p>
    <w:p w:rsidR="00227659" w:rsidRDefault="00F235DD">
      <w:pPr>
        <w:pStyle w:val="17References"/>
        <w:spacing w:after="0" w:line="480" w:lineRule="auto"/>
        <w:rPr>
          <w:color w:val="000000"/>
          <w:sz w:val="24"/>
          <w:lang w:val="en-GB"/>
        </w:rPr>
      </w:pPr>
      <w:r>
        <w:rPr>
          <w:color w:val="000000"/>
          <w:sz w:val="24"/>
          <w:lang w:val="it-IT"/>
        </w:rPr>
        <w:t xml:space="preserve">Stein, N. L. &amp; Albro, E. R. (2001). </w:t>
      </w:r>
      <w:r>
        <w:rPr>
          <w:color w:val="000000"/>
          <w:sz w:val="24"/>
          <w:lang w:val="en-US"/>
        </w:rPr>
        <w:t xml:space="preserve">The Origins and Nature of Arguments: Studies in Conflict Understanding, Emotion, and Negotiation. </w:t>
      </w:r>
      <w:r>
        <w:rPr>
          <w:i/>
          <w:color w:val="000000"/>
          <w:sz w:val="24"/>
          <w:lang w:val="en-US"/>
        </w:rPr>
        <w:t>Discourse Processes</w:t>
      </w:r>
      <w:r>
        <w:rPr>
          <w:color w:val="000000"/>
          <w:sz w:val="24"/>
          <w:lang w:val="en-US"/>
        </w:rPr>
        <w:t xml:space="preserve">, </w:t>
      </w:r>
      <w:r>
        <w:rPr>
          <w:iCs/>
          <w:color w:val="000000"/>
          <w:sz w:val="24"/>
          <w:lang w:val="en-US"/>
        </w:rPr>
        <w:t>32</w:t>
      </w:r>
      <w:r>
        <w:rPr>
          <w:i/>
          <w:iCs/>
          <w:color w:val="000000"/>
          <w:sz w:val="24"/>
          <w:lang w:val="en-US"/>
        </w:rPr>
        <w:t xml:space="preserve"> </w:t>
      </w:r>
      <w:r>
        <w:rPr>
          <w:color w:val="000000"/>
          <w:sz w:val="24"/>
          <w:lang w:val="en-US"/>
        </w:rPr>
        <w:t>(2&amp;3), 113–133.</w:t>
      </w:r>
    </w:p>
    <w:p w:rsidR="00227659" w:rsidRDefault="00F235DD">
      <w:pPr>
        <w:pStyle w:val="17References"/>
        <w:spacing w:after="0" w:line="480" w:lineRule="auto"/>
        <w:rPr>
          <w:color w:val="000000"/>
          <w:sz w:val="24"/>
          <w:lang w:val="en-GB"/>
        </w:rPr>
      </w:pPr>
      <w:r>
        <w:rPr>
          <w:color w:val="000000"/>
          <w:sz w:val="24"/>
          <w:lang w:val="en-GB"/>
        </w:rPr>
        <w:t xml:space="preserve">Strauss, A. L. &amp; Corbin, J. (1991). </w:t>
      </w:r>
      <w:r>
        <w:rPr>
          <w:i/>
          <w:color w:val="000000"/>
          <w:sz w:val="24"/>
          <w:lang w:val="en-GB"/>
        </w:rPr>
        <w:t>Basics of qualitative research</w:t>
      </w:r>
      <w:r>
        <w:rPr>
          <w:color w:val="000000"/>
          <w:sz w:val="24"/>
          <w:lang w:val="en-GB"/>
        </w:rPr>
        <w:t xml:space="preserve">. Newbury Park - London New Delhi: Sage. </w:t>
      </w:r>
    </w:p>
    <w:p w:rsidR="00227659" w:rsidRDefault="00F235DD">
      <w:pPr>
        <w:pStyle w:val="17References"/>
        <w:spacing w:after="0" w:line="480" w:lineRule="auto"/>
        <w:rPr>
          <w:color w:val="000000"/>
          <w:sz w:val="24"/>
          <w:lang w:val="en-US"/>
        </w:rPr>
      </w:pPr>
      <w:r>
        <w:rPr>
          <w:color w:val="000000"/>
          <w:sz w:val="24"/>
          <w:lang w:val="en-GB"/>
        </w:rPr>
        <w:t xml:space="preserve">Tindale, C. (2004). </w:t>
      </w:r>
      <w:r>
        <w:rPr>
          <w:i/>
          <w:color w:val="000000"/>
          <w:sz w:val="24"/>
          <w:lang w:val="en-GB"/>
        </w:rPr>
        <w:t>Rhetorical Argumentation</w:t>
      </w:r>
      <w:r>
        <w:rPr>
          <w:color w:val="000000"/>
          <w:sz w:val="24"/>
          <w:lang w:val="en-GB"/>
        </w:rPr>
        <w:t>. New York: Sage.</w:t>
      </w:r>
    </w:p>
    <w:p w:rsidR="00227659" w:rsidRDefault="00F235DD">
      <w:pPr>
        <w:pStyle w:val="17References"/>
        <w:spacing w:after="0" w:line="480" w:lineRule="auto"/>
        <w:rPr>
          <w:color w:val="000000"/>
          <w:sz w:val="24"/>
          <w:lang w:val="en-US"/>
        </w:rPr>
      </w:pPr>
      <w:r>
        <w:rPr>
          <w:color w:val="000000"/>
          <w:sz w:val="24"/>
          <w:lang w:val="en-US"/>
        </w:rPr>
        <w:t xml:space="preserve">Tomasello, M. (2008). </w:t>
      </w:r>
      <w:r>
        <w:rPr>
          <w:i/>
          <w:color w:val="000000"/>
          <w:sz w:val="24"/>
          <w:lang w:val="en-US"/>
        </w:rPr>
        <w:t>Origins of Human Communication</w:t>
      </w:r>
      <w:r>
        <w:rPr>
          <w:color w:val="000000"/>
          <w:sz w:val="24"/>
          <w:lang w:val="en-US"/>
        </w:rPr>
        <w:t>. Cambridge, Mass.: The MIT Press.</w:t>
      </w:r>
    </w:p>
    <w:p w:rsidR="00227659" w:rsidRDefault="00F235DD">
      <w:pPr>
        <w:pStyle w:val="17References"/>
        <w:spacing w:after="0" w:line="480" w:lineRule="auto"/>
        <w:rPr>
          <w:color w:val="000000"/>
          <w:sz w:val="24"/>
          <w:lang w:val="en-GB"/>
        </w:rPr>
      </w:pPr>
      <w:r>
        <w:rPr>
          <w:color w:val="000000"/>
          <w:sz w:val="24"/>
          <w:lang w:val="en-US"/>
        </w:rPr>
        <w:t xml:space="preserve">Tomasello, M. (2010). </w:t>
      </w:r>
      <w:r>
        <w:rPr>
          <w:i/>
          <w:color w:val="000000"/>
          <w:sz w:val="24"/>
          <w:lang w:val="en-US"/>
        </w:rPr>
        <w:t>Why We Cooperate</w:t>
      </w:r>
      <w:r>
        <w:rPr>
          <w:color w:val="000000"/>
          <w:sz w:val="24"/>
          <w:lang w:val="en-US"/>
        </w:rPr>
        <w:t>. Cambridge, Mass.: The MIT Press.</w:t>
      </w:r>
    </w:p>
    <w:p w:rsidR="00227659" w:rsidRDefault="00F235DD">
      <w:pPr>
        <w:pStyle w:val="17References"/>
        <w:spacing w:after="0" w:line="480" w:lineRule="auto"/>
        <w:rPr>
          <w:color w:val="000000"/>
          <w:sz w:val="24"/>
          <w:lang w:val="nl-NL"/>
        </w:rPr>
      </w:pPr>
      <w:r>
        <w:rPr>
          <w:color w:val="000000"/>
          <w:sz w:val="24"/>
          <w:lang w:val="en-GB"/>
        </w:rPr>
        <w:t xml:space="preserve">Toulmin, S. (1958). </w:t>
      </w:r>
      <w:r>
        <w:rPr>
          <w:i/>
          <w:color w:val="000000"/>
          <w:sz w:val="24"/>
          <w:lang w:val="en-GB"/>
        </w:rPr>
        <w:t>The uses of argument</w:t>
      </w:r>
      <w:r>
        <w:rPr>
          <w:color w:val="000000"/>
          <w:sz w:val="24"/>
          <w:lang w:val="en-GB"/>
        </w:rPr>
        <w:t>. Cambridge: Cambridge University Press.</w:t>
      </w:r>
    </w:p>
    <w:p w:rsidR="00227659" w:rsidRDefault="00F235DD">
      <w:pPr>
        <w:pStyle w:val="17References"/>
        <w:spacing w:after="0" w:line="480" w:lineRule="auto"/>
        <w:rPr>
          <w:color w:val="000000"/>
          <w:lang w:val="en-GB"/>
        </w:rPr>
      </w:pPr>
      <w:r>
        <w:rPr>
          <w:color w:val="000000"/>
          <w:sz w:val="24"/>
          <w:lang w:val="nl-NL"/>
        </w:rPr>
        <w:t xml:space="preserve">Van Eemeren, F. &amp; Grootendorst, R. (2004). </w:t>
      </w:r>
      <w:r>
        <w:rPr>
          <w:i/>
          <w:color w:val="000000"/>
          <w:sz w:val="24"/>
          <w:lang w:val="en-GB"/>
        </w:rPr>
        <w:t>A Systematic Theory of Argumentation. The Pragma-dialectical Approach</w:t>
      </w:r>
      <w:r>
        <w:rPr>
          <w:color w:val="000000"/>
          <w:sz w:val="24"/>
          <w:lang w:val="en-GB"/>
        </w:rPr>
        <w:t xml:space="preserve">. New York: Cambridge University Press. </w:t>
      </w:r>
    </w:p>
    <w:p w:rsidR="00227659" w:rsidRDefault="00F235DD">
      <w:pPr>
        <w:spacing w:line="480" w:lineRule="auto"/>
        <w:ind w:left="284" w:right="49" w:hanging="284"/>
        <w:jc w:val="both"/>
        <w:rPr>
          <w:lang w:val="en-US"/>
        </w:rPr>
      </w:pPr>
      <w:r>
        <w:rPr>
          <w:color w:val="000000"/>
          <w:lang w:val="en-GB"/>
        </w:rPr>
        <w:t xml:space="preserve">Van Eemeren, F.. (2010). </w:t>
      </w:r>
      <w:r>
        <w:rPr>
          <w:i/>
          <w:color w:val="000000"/>
          <w:lang w:val="en-GB"/>
        </w:rPr>
        <w:t>Strategic Maneuvering in Argumentative Discourse. Extending the Pragma-dialectical Theory of Argumentation</w:t>
      </w:r>
      <w:r>
        <w:rPr>
          <w:color w:val="000000"/>
          <w:lang w:val="en-GB"/>
        </w:rPr>
        <w:t>. Amsterdam: John Benjamins.</w:t>
      </w:r>
    </w:p>
    <w:p w:rsidR="00227659" w:rsidRDefault="00F235DD">
      <w:pPr>
        <w:pStyle w:val="Textoindependiente"/>
        <w:spacing w:after="0" w:line="480" w:lineRule="auto"/>
        <w:ind w:left="284" w:hanging="284"/>
        <w:jc w:val="both"/>
        <w:rPr>
          <w:color w:val="000000"/>
          <w:lang w:val="nl-NL"/>
        </w:rPr>
      </w:pPr>
      <w:r>
        <w:rPr>
          <w:lang w:val="en-US"/>
        </w:rPr>
        <w:t xml:space="preserve">Van Eemmeren, F., Grootendorst R., &amp; Snoeck Henkemans F. (2006). </w:t>
      </w:r>
      <w:r>
        <w:rPr>
          <w:i/>
          <w:lang w:val="es-AR"/>
        </w:rPr>
        <w:t>Argumentación</w:t>
      </w:r>
      <w:r>
        <w:rPr>
          <w:lang w:val="es-AR"/>
        </w:rPr>
        <w:t xml:space="preserve">. Buenos Aires: Biblios. </w:t>
      </w:r>
    </w:p>
    <w:p w:rsidR="00227659" w:rsidRDefault="00F235DD">
      <w:pPr>
        <w:pStyle w:val="17References"/>
        <w:spacing w:after="0" w:line="480" w:lineRule="auto"/>
        <w:rPr>
          <w:color w:val="000000"/>
          <w:sz w:val="24"/>
          <w:lang w:val="es-ES"/>
        </w:rPr>
      </w:pPr>
      <w:r>
        <w:rPr>
          <w:color w:val="000000"/>
          <w:sz w:val="24"/>
          <w:lang w:val="nl-NL"/>
        </w:rPr>
        <w:t xml:space="preserve">Voss, J.F., &amp; Van Dyke, J.A. (2001). Argumentation in Psychology. </w:t>
      </w:r>
      <w:r>
        <w:rPr>
          <w:i/>
          <w:iCs/>
          <w:color w:val="000000"/>
          <w:sz w:val="24"/>
          <w:lang w:val="en-US"/>
        </w:rPr>
        <w:t>Discourse Processes</w:t>
      </w:r>
      <w:r>
        <w:rPr>
          <w:color w:val="000000"/>
          <w:sz w:val="24"/>
          <w:lang w:val="en-US"/>
        </w:rPr>
        <w:t>, 32 (2&amp;3), 89-111.</w:t>
      </w:r>
    </w:p>
    <w:p w:rsidR="00227659" w:rsidRDefault="00F235DD">
      <w:pPr>
        <w:pStyle w:val="17References"/>
        <w:spacing w:after="0" w:line="480" w:lineRule="auto"/>
        <w:rPr>
          <w:color w:val="000000"/>
          <w:sz w:val="24"/>
          <w:lang w:val="es-AR"/>
        </w:rPr>
      </w:pPr>
      <w:r>
        <w:rPr>
          <w:color w:val="000000"/>
          <w:sz w:val="24"/>
          <w:lang w:val="es-ES"/>
        </w:rPr>
        <w:t xml:space="preserve">Vygotski, L. S. (1964). </w:t>
      </w:r>
      <w:r>
        <w:rPr>
          <w:i/>
          <w:color w:val="000000"/>
          <w:sz w:val="24"/>
          <w:lang w:val="es-ES"/>
        </w:rPr>
        <w:t>Pensa</w:t>
      </w:r>
      <w:r>
        <w:rPr>
          <w:i/>
          <w:color w:val="000000"/>
          <w:sz w:val="24"/>
          <w:lang w:val="es-AR"/>
        </w:rPr>
        <w:t>miento y lenguaje</w:t>
      </w:r>
      <w:r>
        <w:rPr>
          <w:color w:val="000000"/>
          <w:sz w:val="24"/>
          <w:lang w:val="es-AR"/>
        </w:rPr>
        <w:t xml:space="preserve">. </w:t>
      </w:r>
      <w:r>
        <w:rPr>
          <w:color w:val="000000"/>
          <w:sz w:val="24"/>
          <w:lang w:val="es-ES"/>
        </w:rPr>
        <w:t>Buenos Aires: Editorial Lautaro.</w:t>
      </w:r>
    </w:p>
    <w:p w:rsidR="00227659" w:rsidRDefault="00F235DD">
      <w:pPr>
        <w:pStyle w:val="17References"/>
        <w:spacing w:after="0" w:line="480" w:lineRule="auto"/>
        <w:rPr>
          <w:color w:val="000000"/>
          <w:sz w:val="24"/>
          <w:lang w:val="en-GB"/>
        </w:rPr>
      </w:pPr>
      <w:r>
        <w:rPr>
          <w:color w:val="000000"/>
          <w:sz w:val="24"/>
          <w:lang w:val="es-AR"/>
        </w:rPr>
        <w:t xml:space="preserve">Walton, D. (2013). </w:t>
      </w:r>
      <w:r>
        <w:rPr>
          <w:i/>
          <w:color w:val="000000"/>
          <w:sz w:val="24"/>
          <w:lang w:val="en-GB"/>
        </w:rPr>
        <w:t>Methods of Argumentation.</w:t>
      </w:r>
      <w:r>
        <w:rPr>
          <w:color w:val="000000"/>
          <w:sz w:val="24"/>
          <w:lang w:val="en-GB"/>
        </w:rPr>
        <w:t xml:space="preserve"> New York: Cambridge University Press.</w:t>
      </w:r>
    </w:p>
    <w:p w:rsidR="00227659" w:rsidRDefault="00F235DD">
      <w:pPr>
        <w:pStyle w:val="17References"/>
        <w:spacing w:after="0" w:line="480" w:lineRule="auto"/>
        <w:rPr>
          <w:color w:val="000000"/>
          <w:sz w:val="24"/>
          <w:lang w:val="es-AR"/>
        </w:rPr>
      </w:pPr>
      <w:r>
        <w:rPr>
          <w:color w:val="000000"/>
          <w:sz w:val="24"/>
          <w:lang w:val="en-GB"/>
        </w:rPr>
        <w:t xml:space="preserve">Walton, D., Reed, C. &amp; Macagno, F. (2008). </w:t>
      </w:r>
      <w:r>
        <w:rPr>
          <w:i/>
          <w:color w:val="000000"/>
          <w:sz w:val="24"/>
          <w:lang w:val="en-GB"/>
        </w:rPr>
        <w:t>Argumentation Schemes</w:t>
      </w:r>
      <w:r>
        <w:rPr>
          <w:color w:val="000000"/>
          <w:sz w:val="24"/>
          <w:lang w:val="en-GB"/>
        </w:rPr>
        <w:t>. New York: Cambridge University Press.</w:t>
      </w:r>
    </w:p>
    <w:p w:rsidR="00227659" w:rsidRDefault="00F235DD">
      <w:pPr>
        <w:pStyle w:val="17References"/>
        <w:spacing w:after="0" w:line="480" w:lineRule="auto"/>
        <w:rPr>
          <w:color w:val="000000"/>
          <w:sz w:val="24"/>
          <w:lang w:val="es-ES"/>
        </w:rPr>
      </w:pPr>
      <w:r>
        <w:rPr>
          <w:color w:val="000000"/>
          <w:sz w:val="24"/>
          <w:lang w:val="es-AR"/>
        </w:rPr>
        <w:t xml:space="preserve">Wertsch, J. (1998). </w:t>
      </w:r>
      <w:r>
        <w:rPr>
          <w:i/>
          <w:color w:val="000000"/>
          <w:sz w:val="24"/>
          <w:lang w:val="es-AR"/>
        </w:rPr>
        <w:t>La mente en acción</w:t>
      </w:r>
      <w:r>
        <w:rPr>
          <w:color w:val="000000"/>
          <w:sz w:val="24"/>
          <w:lang w:val="es-AR"/>
        </w:rPr>
        <w:t xml:space="preserve">. </w:t>
      </w:r>
      <w:r>
        <w:rPr>
          <w:color w:val="000000"/>
          <w:sz w:val="24"/>
          <w:lang w:val="es-ES"/>
        </w:rPr>
        <w:t>Buenos Aires: Aique.</w:t>
      </w:r>
    </w:p>
    <w:p w:rsidR="00227659" w:rsidRDefault="00F235DD">
      <w:pPr>
        <w:pStyle w:val="17References"/>
        <w:spacing w:after="0" w:line="480" w:lineRule="auto"/>
        <w:rPr>
          <w:color w:val="000000"/>
          <w:sz w:val="24"/>
          <w:lang w:val="en-US"/>
        </w:rPr>
      </w:pPr>
      <w:r>
        <w:rPr>
          <w:color w:val="000000"/>
          <w:sz w:val="24"/>
          <w:lang w:val="es-ES"/>
        </w:rPr>
        <w:lastRenderedPageBreak/>
        <w:t xml:space="preserve">Wyman, E., Rakoczy, H. &amp; Tomasello, M. (2009). </w:t>
      </w:r>
      <w:r>
        <w:rPr>
          <w:color w:val="000000"/>
          <w:sz w:val="24"/>
          <w:lang w:val="en-US"/>
        </w:rPr>
        <w:t xml:space="preserve">Normativity and context in young children’s pretend play. </w:t>
      </w:r>
      <w:r>
        <w:rPr>
          <w:i/>
          <w:color w:val="000000"/>
          <w:sz w:val="24"/>
          <w:lang w:val="en-US"/>
        </w:rPr>
        <w:t xml:space="preserve">Cognitive Development, </w:t>
      </w:r>
      <w:r>
        <w:rPr>
          <w:color w:val="000000"/>
          <w:sz w:val="24"/>
          <w:lang w:val="en-US"/>
        </w:rPr>
        <w:t>24, 146–155.</w:t>
      </w:r>
    </w:p>
    <w:p w:rsidR="00F235DD" w:rsidRDefault="00F235DD">
      <w:pPr>
        <w:pStyle w:val="17References"/>
        <w:spacing w:after="0" w:line="480" w:lineRule="auto"/>
      </w:pPr>
      <w:r>
        <w:rPr>
          <w:color w:val="000000"/>
          <w:sz w:val="24"/>
          <w:lang w:val="en-US"/>
        </w:rPr>
        <w:t xml:space="preserve">Zadunaisky Ehrlich, S. &amp; Blum-Kulka, S. (2010). Peer talk as a 'double opportunity space': The case of argumentative discourse.  </w:t>
      </w:r>
      <w:r>
        <w:rPr>
          <w:i/>
          <w:color w:val="000000"/>
          <w:sz w:val="24"/>
          <w:lang w:val="es-AR"/>
        </w:rPr>
        <w:t>Discourse Society</w:t>
      </w:r>
      <w:r>
        <w:rPr>
          <w:color w:val="000000"/>
          <w:sz w:val="24"/>
          <w:lang w:val="es-AR"/>
        </w:rPr>
        <w:t>, 21(2), 211–233.</w:t>
      </w:r>
    </w:p>
    <w:sectPr w:rsidR="00F235DD" w:rsidSect="00227659">
      <w:pgSz w:w="11906" w:h="16838"/>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510" w:rsidRDefault="00CB0510">
      <w:r>
        <w:separator/>
      </w:r>
    </w:p>
  </w:endnote>
  <w:endnote w:type="continuationSeparator" w:id="1">
    <w:p w:rsidR="00CB0510" w:rsidRDefault="00CB051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erif">
    <w:altName w:val="MS PMincho"/>
    <w:charset w:val="8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510" w:rsidRDefault="00CB0510">
      <w:r>
        <w:separator/>
      </w:r>
    </w:p>
  </w:footnote>
  <w:footnote w:type="continuationSeparator" w:id="1">
    <w:p w:rsidR="00CB0510" w:rsidRDefault="00CB0510">
      <w:r>
        <w:continuationSeparator/>
      </w:r>
    </w:p>
  </w:footnote>
  <w:footnote w:id="2">
    <w:p w:rsidR="00693A0D" w:rsidRDefault="00693A0D">
      <w:pPr>
        <w:jc w:val="both"/>
      </w:pPr>
      <w:r>
        <w:rPr>
          <w:rStyle w:val="Caracteresdenotaalpie"/>
        </w:rPr>
        <w:footnoteRef/>
      </w:r>
      <w:r>
        <w:tab/>
        <w:t xml:space="preserve"> </w:t>
      </w:r>
      <w:r>
        <w:rPr>
          <w:lang w:val="es-AR"/>
        </w:rPr>
        <w:t xml:space="preserve">Los rincones o sectores más frecuentes son el de dramatización, que posibilita un juego de roles vinculado a la vida familiar; el de bloques, donde se ofrecen “ladrillos” de diversos materiales para realizar construcciones; el de “juegos tranquilos”, en el que hay distintos juegos de mesa (lotería, dominó, rompecabezas, encastres, etc.) y el de biblioteca. </w:t>
      </w:r>
    </w:p>
    <w:p w:rsidR="00693A0D" w:rsidRDefault="00693A0D">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0"/>
        </w:tabs>
        <w:ind w:left="495" w:hanging="360"/>
      </w:pPr>
      <w:rPr>
        <w:rFonts w:ascii="Arial" w:hAnsi="Arial" w:cs="Arial"/>
      </w:rPr>
    </w:lvl>
  </w:abstractNum>
  <w:abstractNum w:abstractNumId="1">
    <w:nsid w:val="00000002"/>
    <w:multiLevelType w:val="singleLevel"/>
    <w:tmpl w:val="00000002"/>
    <w:name w:val="WW8Num2"/>
    <w:lvl w:ilvl="0">
      <w:numFmt w:val="bullet"/>
      <w:lvlText w:val="-"/>
      <w:lvlJc w:val="left"/>
      <w:pPr>
        <w:tabs>
          <w:tab w:val="num" w:pos="0"/>
        </w:tabs>
        <w:ind w:left="4046" w:hanging="360"/>
      </w:pPr>
      <w:rPr>
        <w:rFonts w:ascii="Arial" w:hAnsi="Arial" w:cs="Times New Roman"/>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7D43"/>
    <w:rsid w:val="0006469F"/>
    <w:rsid w:val="000D7CF1"/>
    <w:rsid w:val="000E1571"/>
    <w:rsid w:val="0011391E"/>
    <w:rsid w:val="00227659"/>
    <w:rsid w:val="002B7396"/>
    <w:rsid w:val="003C0BE3"/>
    <w:rsid w:val="00493FA8"/>
    <w:rsid w:val="005A1F4F"/>
    <w:rsid w:val="00632490"/>
    <w:rsid w:val="00693A0D"/>
    <w:rsid w:val="006D20D2"/>
    <w:rsid w:val="00780573"/>
    <w:rsid w:val="009E03E7"/>
    <w:rsid w:val="009F7408"/>
    <w:rsid w:val="00BB5607"/>
    <w:rsid w:val="00BE5D31"/>
    <w:rsid w:val="00CA5379"/>
    <w:rsid w:val="00CB0510"/>
    <w:rsid w:val="00D23006"/>
    <w:rsid w:val="00DA7D43"/>
    <w:rsid w:val="00DB6FDC"/>
    <w:rsid w:val="00DD233B"/>
    <w:rsid w:val="00E36D18"/>
    <w:rsid w:val="00E74207"/>
    <w:rsid w:val="00F02640"/>
    <w:rsid w:val="00F039EB"/>
    <w:rsid w:val="00F21DCE"/>
    <w:rsid w:val="00F235DD"/>
    <w:rsid w:val="00F56F2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59"/>
    <w:pPr>
      <w:suppressAutoHyphens/>
    </w:pPr>
    <w:rPr>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227659"/>
    <w:rPr>
      <w:rFonts w:ascii="Symbol" w:eastAsia="Times New Roman" w:hAnsi="Symbol" w:cs="Arial"/>
    </w:rPr>
  </w:style>
  <w:style w:type="character" w:customStyle="1" w:styleId="WW8Num2z0">
    <w:name w:val="WW8Num2z0"/>
    <w:rsid w:val="00227659"/>
    <w:rPr>
      <w:rFonts w:cs="Times New Roman"/>
    </w:rPr>
  </w:style>
  <w:style w:type="character" w:customStyle="1" w:styleId="Fuentedeprrafopredeter7">
    <w:name w:val="Fuente de párrafo predeter.7"/>
    <w:rsid w:val="00227659"/>
  </w:style>
  <w:style w:type="character" w:customStyle="1" w:styleId="WW8Num1z1">
    <w:name w:val="WW8Num1z1"/>
    <w:rsid w:val="00227659"/>
    <w:rPr>
      <w:rFonts w:ascii="Courier New" w:hAnsi="Courier New" w:cs="Courier New"/>
    </w:rPr>
  </w:style>
  <w:style w:type="character" w:customStyle="1" w:styleId="WW8Num1z2">
    <w:name w:val="WW8Num1z2"/>
    <w:rsid w:val="00227659"/>
    <w:rPr>
      <w:rFonts w:ascii="Wingdings" w:hAnsi="Wingdings" w:cs="Wingdings"/>
    </w:rPr>
  </w:style>
  <w:style w:type="character" w:customStyle="1" w:styleId="WW8Num1z3">
    <w:name w:val="WW8Num1z3"/>
    <w:rsid w:val="00227659"/>
    <w:rPr>
      <w:rFonts w:ascii="Symbol" w:hAnsi="Symbol" w:cs="Symbol"/>
    </w:rPr>
  </w:style>
  <w:style w:type="character" w:customStyle="1" w:styleId="WW8Num2z1">
    <w:name w:val="WW8Num2z1"/>
    <w:rsid w:val="00227659"/>
    <w:rPr>
      <w:rFonts w:ascii="Wingdings" w:hAnsi="Wingdings" w:cs="Wingdings"/>
    </w:rPr>
  </w:style>
  <w:style w:type="character" w:customStyle="1" w:styleId="WW8Num2z3">
    <w:name w:val="WW8Num2z3"/>
    <w:rsid w:val="00227659"/>
    <w:rPr>
      <w:rFonts w:ascii="Symbol" w:hAnsi="Symbol" w:cs="Symbol"/>
    </w:rPr>
  </w:style>
  <w:style w:type="character" w:customStyle="1" w:styleId="WW8Num2z4">
    <w:name w:val="WW8Num2z4"/>
    <w:rsid w:val="00227659"/>
    <w:rPr>
      <w:rFonts w:ascii="Courier New" w:hAnsi="Courier New" w:cs="Courier New"/>
    </w:rPr>
  </w:style>
  <w:style w:type="character" w:customStyle="1" w:styleId="Fuentedeprrafopredeter6">
    <w:name w:val="Fuente de párrafo predeter.6"/>
    <w:rsid w:val="00227659"/>
  </w:style>
  <w:style w:type="character" w:customStyle="1" w:styleId="Standaardalinea-lettertype">
    <w:name w:val="Standaardalinea-lettertype"/>
    <w:rsid w:val="00227659"/>
  </w:style>
  <w:style w:type="character" w:customStyle="1" w:styleId="Standaardalinea-lettertype1">
    <w:name w:val="Standaardalinea-lettertype1"/>
    <w:rsid w:val="00227659"/>
  </w:style>
  <w:style w:type="character" w:customStyle="1" w:styleId="Fuentedeprrafopredeter5">
    <w:name w:val="Fuente de párrafo predeter.5"/>
    <w:rsid w:val="00227659"/>
  </w:style>
  <w:style w:type="character" w:customStyle="1" w:styleId="Fuentedeprrafopredeter4">
    <w:name w:val="Fuente de párrafo predeter.4"/>
    <w:rsid w:val="00227659"/>
  </w:style>
  <w:style w:type="character" w:customStyle="1" w:styleId="Fuentedeprrafopredeter3">
    <w:name w:val="Fuente de párrafo predeter.3"/>
    <w:rsid w:val="00227659"/>
  </w:style>
  <w:style w:type="character" w:customStyle="1" w:styleId="Fuentedeprrafopredeter2">
    <w:name w:val="Fuente de párrafo predeter.2"/>
    <w:rsid w:val="00227659"/>
  </w:style>
  <w:style w:type="character" w:customStyle="1" w:styleId="Fuentedeprrafopredeter1">
    <w:name w:val="Fuente de párrafo predeter.1"/>
    <w:rsid w:val="00227659"/>
  </w:style>
  <w:style w:type="character" w:customStyle="1" w:styleId="apple-converted-space">
    <w:name w:val="apple-converted-space"/>
    <w:basedOn w:val="Fuentedeprrafopredeter1"/>
    <w:rsid w:val="00227659"/>
  </w:style>
  <w:style w:type="character" w:customStyle="1" w:styleId="Smbolosdenumeracin">
    <w:name w:val="Símbolos de numeración"/>
    <w:rsid w:val="00227659"/>
  </w:style>
  <w:style w:type="character" w:customStyle="1" w:styleId="Caracteresdenotafinal">
    <w:name w:val="Caracteres de nota final"/>
    <w:rsid w:val="00227659"/>
    <w:rPr>
      <w:vertAlign w:val="superscript"/>
    </w:rPr>
  </w:style>
  <w:style w:type="character" w:customStyle="1" w:styleId="Refdenotaalfinal1">
    <w:name w:val="Ref. de nota al final1"/>
    <w:rsid w:val="00227659"/>
    <w:rPr>
      <w:vertAlign w:val="superscript"/>
    </w:rPr>
  </w:style>
  <w:style w:type="character" w:customStyle="1" w:styleId="Caracteresdenotaalpie">
    <w:name w:val="Caracteres de nota al pie"/>
    <w:rsid w:val="00227659"/>
    <w:rPr>
      <w:vertAlign w:val="superscript"/>
    </w:rPr>
  </w:style>
  <w:style w:type="character" w:customStyle="1" w:styleId="WW-Caracteresdenotaalpie">
    <w:name w:val="WW-Caracteres de nota al pie"/>
    <w:rsid w:val="00227659"/>
  </w:style>
  <w:style w:type="character" w:customStyle="1" w:styleId="Refdenotaalpie1">
    <w:name w:val="Ref. de nota al pie1"/>
    <w:rsid w:val="00227659"/>
    <w:rPr>
      <w:vertAlign w:val="superscript"/>
    </w:rPr>
  </w:style>
  <w:style w:type="character" w:customStyle="1" w:styleId="hpsatn">
    <w:name w:val="hps atn"/>
    <w:basedOn w:val="Fuentedeprrafopredeter1"/>
    <w:rsid w:val="00227659"/>
  </w:style>
  <w:style w:type="character" w:customStyle="1" w:styleId="hps">
    <w:name w:val="hps"/>
    <w:basedOn w:val="Fuentedeprrafopredeter1"/>
    <w:rsid w:val="00227659"/>
  </w:style>
  <w:style w:type="character" w:customStyle="1" w:styleId="texto">
    <w:name w:val="texto"/>
    <w:basedOn w:val="Fuentedeprrafopredeter1"/>
    <w:rsid w:val="00227659"/>
  </w:style>
  <w:style w:type="character" w:customStyle="1" w:styleId="BallontekstChar">
    <w:name w:val="Ballontekst Char"/>
    <w:rsid w:val="00227659"/>
    <w:rPr>
      <w:rFonts w:ascii="Tahoma" w:hAnsi="Tahoma" w:cs="Tahoma"/>
      <w:sz w:val="16"/>
      <w:szCs w:val="16"/>
      <w:lang w:val="es-ES"/>
    </w:rPr>
  </w:style>
  <w:style w:type="character" w:styleId="Hipervnculo">
    <w:name w:val="Hyperlink"/>
    <w:rsid w:val="00227659"/>
    <w:rPr>
      <w:color w:val="0000FF"/>
      <w:u w:val="single"/>
    </w:rPr>
  </w:style>
  <w:style w:type="character" w:customStyle="1" w:styleId="VoetnoottekstChar">
    <w:name w:val="Voetnoottekst Char"/>
    <w:rsid w:val="00227659"/>
    <w:rPr>
      <w:lang w:val="es-ES"/>
    </w:rPr>
  </w:style>
  <w:style w:type="character" w:customStyle="1" w:styleId="Voetnootmarkering1">
    <w:name w:val="Voetnootmarkering1"/>
    <w:rsid w:val="00227659"/>
    <w:rPr>
      <w:vertAlign w:val="superscript"/>
    </w:rPr>
  </w:style>
  <w:style w:type="character" w:customStyle="1" w:styleId="Verwijzingopmerking1">
    <w:name w:val="Verwijzing opmerking1"/>
    <w:rsid w:val="00227659"/>
    <w:rPr>
      <w:sz w:val="16"/>
      <w:szCs w:val="16"/>
    </w:rPr>
  </w:style>
  <w:style w:type="character" w:customStyle="1" w:styleId="TekstopmerkingChar">
    <w:name w:val="Tekst opmerking Char"/>
    <w:rsid w:val="00227659"/>
    <w:rPr>
      <w:lang w:val="es-ES"/>
    </w:rPr>
  </w:style>
  <w:style w:type="character" w:customStyle="1" w:styleId="OnderwerpvanopmerkingChar">
    <w:name w:val="Onderwerp van opmerking Char"/>
    <w:rsid w:val="00227659"/>
    <w:rPr>
      <w:b/>
      <w:bCs/>
      <w:lang w:val="es-ES"/>
    </w:rPr>
  </w:style>
  <w:style w:type="character" w:customStyle="1" w:styleId="Voetnootmarkering">
    <w:name w:val="Voetnootmarkering"/>
    <w:rsid w:val="00227659"/>
    <w:rPr>
      <w:vertAlign w:val="superscript"/>
    </w:rPr>
  </w:style>
  <w:style w:type="character" w:customStyle="1" w:styleId="Eindnootmarkering">
    <w:name w:val="Eindnootmarkering"/>
    <w:rsid w:val="00227659"/>
    <w:rPr>
      <w:vertAlign w:val="superscript"/>
    </w:rPr>
  </w:style>
  <w:style w:type="character" w:customStyle="1" w:styleId="BallontekstChar1">
    <w:name w:val="Ballontekst Char1"/>
    <w:rsid w:val="00227659"/>
    <w:rPr>
      <w:rFonts w:ascii="Tahoma" w:hAnsi="Tahoma" w:cs="Tahoma"/>
      <w:sz w:val="16"/>
      <w:szCs w:val="16"/>
    </w:rPr>
  </w:style>
  <w:style w:type="character" w:customStyle="1" w:styleId="Verwijzingopmerking">
    <w:name w:val="Verwijzing opmerking"/>
    <w:rsid w:val="00227659"/>
    <w:rPr>
      <w:sz w:val="16"/>
      <w:szCs w:val="16"/>
    </w:rPr>
  </w:style>
  <w:style w:type="character" w:customStyle="1" w:styleId="TekstopmerkingChar1">
    <w:name w:val="Tekst opmerking Char1"/>
    <w:rsid w:val="00227659"/>
  </w:style>
  <w:style w:type="character" w:customStyle="1" w:styleId="OnderwerpvanopmerkingChar1">
    <w:name w:val="Onderwerp van opmerking Char1"/>
    <w:rsid w:val="00227659"/>
    <w:rPr>
      <w:b/>
      <w:bCs/>
    </w:rPr>
  </w:style>
  <w:style w:type="character" w:styleId="Textoennegrita">
    <w:name w:val="Strong"/>
    <w:qFormat/>
    <w:rsid w:val="00227659"/>
    <w:rPr>
      <w:b/>
      <w:bCs/>
    </w:rPr>
  </w:style>
  <w:style w:type="character" w:customStyle="1" w:styleId="Refdenotaalpie2">
    <w:name w:val="Ref. de nota al pie2"/>
    <w:rsid w:val="00227659"/>
    <w:rPr>
      <w:vertAlign w:val="superscript"/>
    </w:rPr>
  </w:style>
  <w:style w:type="character" w:customStyle="1" w:styleId="Refdenotaalfinal2">
    <w:name w:val="Ref. de nota al final2"/>
    <w:rsid w:val="00227659"/>
    <w:rPr>
      <w:vertAlign w:val="superscript"/>
    </w:rPr>
  </w:style>
  <w:style w:type="character" w:customStyle="1" w:styleId="Refdenotaalpie3">
    <w:name w:val="Ref. de nota al pie3"/>
    <w:rsid w:val="00227659"/>
    <w:rPr>
      <w:vertAlign w:val="superscript"/>
    </w:rPr>
  </w:style>
  <w:style w:type="character" w:customStyle="1" w:styleId="Refdenotaalfinal3">
    <w:name w:val="Ref. de nota al final3"/>
    <w:rsid w:val="00227659"/>
    <w:rPr>
      <w:vertAlign w:val="superscript"/>
    </w:rPr>
  </w:style>
  <w:style w:type="character" w:customStyle="1" w:styleId="gt-ft-text">
    <w:name w:val="gt-ft-text"/>
    <w:basedOn w:val="Fuentedeprrafopredeter7"/>
    <w:rsid w:val="00227659"/>
  </w:style>
  <w:style w:type="character" w:styleId="Refdenotaalpie">
    <w:name w:val="footnote reference"/>
    <w:rsid w:val="00227659"/>
    <w:rPr>
      <w:vertAlign w:val="superscript"/>
    </w:rPr>
  </w:style>
  <w:style w:type="character" w:styleId="Refdenotaalfinal">
    <w:name w:val="endnote reference"/>
    <w:rsid w:val="00227659"/>
    <w:rPr>
      <w:vertAlign w:val="superscript"/>
    </w:rPr>
  </w:style>
  <w:style w:type="paragraph" w:customStyle="1" w:styleId="Encabezado8">
    <w:name w:val="Encabezado8"/>
    <w:basedOn w:val="Normal"/>
    <w:next w:val="Textoindependiente"/>
    <w:rsid w:val="00227659"/>
    <w:pPr>
      <w:keepNext/>
      <w:spacing w:before="240" w:after="120"/>
    </w:pPr>
    <w:rPr>
      <w:rFonts w:ascii="Arial" w:eastAsia="Microsoft YaHei" w:hAnsi="Arial" w:cs="Mangal"/>
      <w:sz w:val="28"/>
      <w:szCs w:val="28"/>
    </w:rPr>
  </w:style>
  <w:style w:type="paragraph" w:styleId="Textoindependiente">
    <w:name w:val="Body Text"/>
    <w:basedOn w:val="Normal"/>
    <w:rsid w:val="00227659"/>
    <w:pPr>
      <w:spacing w:after="120"/>
    </w:pPr>
  </w:style>
  <w:style w:type="paragraph" w:styleId="Lista">
    <w:name w:val="List"/>
    <w:basedOn w:val="Textoindependiente"/>
    <w:rsid w:val="00227659"/>
    <w:rPr>
      <w:rFonts w:cs="Mangal"/>
    </w:rPr>
  </w:style>
  <w:style w:type="paragraph" w:customStyle="1" w:styleId="Etiqueta">
    <w:name w:val="Etiqueta"/>
    <w:basedOn w:val="Normal"/>
    <w:rsid w:val="00227659"/>
    <w:pPr>
      <w:suppressLineNumbers/>
      <w:spacing w:before="120" w:after="120"/>
    </w:pPr>
    <w:rPr>
      <w:rFonts w:cs="Mangal"/>
      <w:i/>
      <w:iCs/>
    </w:rPr>
  </w:style>
  <w:style w:type="paragraph" w:customStyle="1" w:styleId="ndice">
    <w:name w:val="Índice"/>
    <w:basedOn w:val="Normal"/>
    <w:rsid w:val="00227659"/>
    <w:pPr>
      <w:suppressLineNumbers/>
    </w:pPr>
    <w:rPr>
      <w:rFonts w:cs="Mangal"/>
    </w:rPr>
  </w:style>
  <w:style w:type="paragraph" w:customStyle="1" w:styleId="Encabezado7">
    <w:name w:val="Encabezado7"/>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6">
    <w:name w:val="Encabezado6"/>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5">
    <w:name w:val="Encabezado5"/>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4">
    <w:name w:val="Encabezado4"/>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3">
    <w:name w:val="Encabezado3"/>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2">
    <w:name w:val="Encabezado2"/>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227659"/>
    <w:pPr>
      <w:keepNext/>
      <w:spacing w:before="240" w:after="120"/>
    </w:pPr>
    <w:rPr>
      <w:rFonts w:ascii="Arial" w:eastAsia="Microsoft YaHei" w:hAnsi="Arial" w:cs="Mangal"/>
      <w:sz w:val="28"/>
      <w:szCs w:val="28"/>
    </w:rPr>
  </w:style>
  <w:style w:type="paragraph" w:customStyle="1" w:styleId="Contenidodelatabla">
    <w:name w:val="Contenido de la tabla"/>
    <w:basedOn w:val="Normal"/>
    <w:rsid w:val="00227659"/>
    <w:pPr>
      <w:suppressLineNumbers/>
    </w:pPr>
  </w:style>
  <w:style w:type="paragraph" w:customStyle="1" w:styleId="Encabezadodelatabla">
    <w:name w:val="Encabezado de la tabla"/>
    <w:basedOn w:val="Contenidodelatabla"/>
    <w:rsid w:val="00227659"/>
    <w:pPr>
      <w:jc w:val="center"/>
    </w:pPr>
    <w:rPr>
      <w:b/>
      <w:bCs/>
    </w:rPr>
  </w:style>
  <w:style w:type="paragraph" w:styleId="Textonotaalfinal">
    <w:name w:val="endnote text"/>
    <w:basedOn w:val="Normal"/>
    <w:rsid w:val="00227659"/>
    <w:pPr>
      <w:suppressLineNumbers/>
      <w:ind w:left="283" w:hanging="283"/>
    </w:pPr>
    <w:rPr>
      <w:sz w:val="20"/>
      <w:szCs w:val="20"/>
    </w:rPr>
  </w:style>
  <w:style w:type="paragraph" w:customStyle="1" w:styleId="Sinespaciado1">
    <w:name w:val="Sin espaciado1"/>
    <w:rsid w:val="00227659"/>
    <w:pPr>
      <w:suppressAutoHyphens/>
    </w:pPr>
    <w:rPr>
      <w:rFonts w:ascii="Calibri" w:eastAsia="Calibri" w:hAnsi="Calibri" w:cs="Calibri"/>
      <w:sz w:val="22"/>
      <w:szCs w:val="22"/>
      <w:lang w:val="es-AR" w:eastAsia="ar-SA"/>
    </w:rPr>
  </w:style>
  <w:style w:type="paragraph" w:customStyle="1" w:styleId="Geenafstand">
    <w:name w:val="Geen afstand"/>
    <w:rsid w:val="00227659"/>
    <w:pPr>
      <w:suppressAutoHyphens/>
    </w:pPr>
    <w:rPr>
      <w:rFonts w:ascii="Calibri" w:eastAsia="Calibri" w:hAnsi="Calibri" w:cs="Calibri"/>
      <w:sz w:val="22"/>
      <w:szCs w:val="22"/>
      <w:lang w:val="es-AR" w:eastAsia="ar-SA"/>
    </w:rPr>
  </w:style>
  <w:style w:type="paragraph" w:styleId="Sangradetextonormal">
    <w:name w:val="Body Text Indent"/>
    <w:basedOn w:val="Normal"/>
    <w:rsid w:val="00227659"/>
    <w:pPr>
      <w:spacing w:after="120"/>
      <w:ind w:left="283"/>
    </w:pPr>
  </w:style>
  <w:style w:type="paragraph" w:customStyle="1" w:styleId="17References">
    <w:name w:val="17_References"/>
    <w:basedOn w:val="Normal"/>
    <w:rsid w:val="00227659"/>
    <w:pPr>
      <w:spacing w:after="40"/>
      <w:ind w:left="284" w:hanging="284"/>
      <w:jc w:val="both"/>
    </w:pPr>
    <w:rPr>
      <w:sz w:val="20"/>
      <w:lang w:val="en-CA"/>
    </w:rPr>
  </w:style>
  <w:style w:type="paragraph" w:customStyle="1" w:styleId="Ballontekst1">
    <w:name w:val="Ballontekst1"/>
    <w:basedOn w:val="Normal"/>
    <w:rsid w:val="00227659"/>
    <w:rPr>
      <w:rFonts w:ascii="Tahoma" w:hAnsi="Tahoma" w:cs="Tahoma"/>
      <w:sz w:val="16"/>
      <w:szCs w:val="16"/>
    </w:rPr>
  </w:style>
  <w:style w:type="paragraph" w:styleId="Textonotapie">
    <w:name w:val="footnote text"/>
    <w:basedOn w:val="Normal"/>
    <w:rsid w:val="00227659"/>
    <w:rPr>
      <w:sz w:val="20"/>
      <w:szCs w:val="20"/>
    </w:rPr>
  </w:style>
  <w:style w:type="paragraph" w:customStyle="1" w:styleId="Tekstopmerking1">
    <w:name w:val="Tekst opmerking1"/>
    <w:basedOn w:val="Normal"/>
    <w:rsid w:val="00227659"/>
    <w:rPr>
      <w:sz w:val="20"/>
      <w:szCs w:val="20"/>
    </w:rPr>
  </w:style>
  <w:style w:type="paragraph" w:customStyle="1" w:styleId="Onderwerpvanopmerking1">
    <w:name w:val="Onderwerp van opmerking1"/>
    <w:basedOn w:val="Tekstopmerking1"/>
    <w:next w:val="Tekstopmerking1"/>
    <w:rsid w:val="00227659"/>
    <w:rPr>
      <w:b/>
      <w:bCs/>
    </w:rPr>
  </w:style>
  <w:style w:type="paragraph" w:customStyle="1" w:styleId="Ballontekst">
    <w:name w:val="Ballontekst"/>
    <w:basedOn w:val="Normal"/>
    <w:rsid w:val="00227659"/>
    <w:rPr>
      <w:rFonts w:ascii="Tahoma" w:hAnsi="Tahoma" w:cs="Tahoma"/>
      <w:sz w:val="16"/>
      <w:szCs w:val="16"/>
    </w:rPr>
  </w:style>
  <w:style w:type="paragraph" w:customStyle="1" w:styleId="Tekstopmerking">
    <w:name w:val="Tekst opmerking"/>
    <w:basedOn w:val="Normal"/>
    <w:rsid w:val="00227659"/>
    <w:rPr>
      <w:sz w:val="20"/>
      <w:szCs w:val="20"/>
    </w:rPr>
  </w:style>
  <w:style w:type="paragraph" w:customStyle="1" w:styleId="Onderwerpvanopmerking">
    <w:name w:val="Onderwerp van opmerking"/>
    <w:basedOn w:val="Tekstopmerking"/>
    <w:next w:val="Tekstopmerking"/>
    <w:rsid w:val="00227659"/>
    <w:rPr>
      <w:b/>
      <w:bCs/>
    </w:rPr>
  </w:style>
  <w:style w:type="paragraph" w:customStyle="1" w:styleId="Normaalweb">
    <w:name w:val="Normaal (web)"/>
    <w:basedOn w:val="Normal"/>
    <w:rsid w:val="00227659"/>
    <w:pPr>
      <w:suppressAutoHyphens w:val="0"/>
      <w:spacing w:before="280" w:after="119"/>
    </w:pPr>
  </w:style>
  <w:style w:type="paragraph" w:styleId="Textodeglobo">
    <w:name w:val="Balloon Text"/>
    <w:basedOn w:val="Normal"/>
    <w:rsid w:val="00227659"/>
    <w:rPr>
      <w:rFonts w:ascii="Tahoma" w:hAnsi="Tahoma" w:cs="Tahoma"/>
      <w:sz w:val="16"/>
      <w:szCs w:val="16"/>
    </w:rPr>
  </w:style>
  <w:style w:type="paragraph" w:styleId="NormalWeb">
    <w:name w:val="Normal (Web)"/>
    <w:basedOn w:val="Normal"/>
    <w:rsid w:val="00227659"/>
    <w:pPr>
      <w:suppressAutoHyphens w:val="0"/>
      <w:spacing w:before="280" w:after="119"/>
    </w:pPr>
  </w:style>
  <w:style w:type="paragraph" w:styleId="Prrafodelista">
    <w:name w:val="List Paragraph"/>
    <w:basedOn w:val="Normal"/>
    <w:qFormat/>
    <w:rsid w:val="00227659"/>
    <w:pPr>
      <w:widowControl w:val="0"/>
      <w:ind w:left="720"/>
    </w:pPr>
    <w:rPr>
      <w:rFonts w:ascii="Liberation Serif" w:eastAsia="DejaVu Sans" w:hAnsi="Liberation Serif" w:cs="Liberation Serif"/>
      <w:kern w:val="1"/>
    </w:rPr>
  </w:style>
  <w:style w:type="paragraph" w:styleId="Sinespaciado">
    <w:name w:val="No Spacing"/>
    <w:uiPriority w:val="99"/>
    <w:qFormat/>
    <w:rsid w:val="00227659"/>
    <w:pPr>
      <w:suppressAutoHyphens/>
    </w:pPr>
    <w:rPr>
      <w:rFonts w:ascii="Calibri" w:eastAsia="Calibri" w:hAnsi="Calibri" w:cs="Calibri"/>
      <w:sz w:val="22"/>
      <w:szCs w:val="22"/>
      <w:lang w:val="es-AR" w:eastAsia="ar-SA"/>
    </w:rPr>
  </w:style>
  <w:style w:type="paragraph" w:customStyle="1" w:styleId="Contenidodelmarco">
    <w:name w:val="Contenido del marco"/>
    <w:basedOn w:val="Textoindependiente"/>
    <w:rsid w:val="002276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31</Pages>
  <Words>8430</Words>
  <Characters>46368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Los resultados del análisis cuantitativo de las disputas entre los niños registradas en las situaciones de juego dramático, de</vt:lpstr>
    </vt:vector>
  </TitlesOfParts>
  <Company/>
  <LinksUpToDate>false</LinksUpToDate>
  <CharactersWithSpaces>54689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resultados del análisis cuantitativo de las disputas entre los niños registradas en las situaciones de juego dramático, de</dc:title>
  <dc:creator>Celia</dc:creator>
  <cp:lastModifiedBy>Mai</cp:lastModifiedBy>
  <cp:revision>13</cp:revision>
  <cp:lastPrinted>2014-05-02T19:33:00Z</cp:lastPrinted>
  <dcterms:created xsi:type="dcterms:W3CDTF">2014-05-02T19:33:00Z</dcterms:created>
  <dcterms:modified xsi:type="dcterms:W3CDTF">2014-05-05T15:12:00Z</dcterms:modified>
</cp:coreProperties>
</file>