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5149A" w14:textId="76BC184E" w:rsidR="00896D52" w:rsidRPr="007755FE" w:rsidRDefault="00B3729A" w:rsidP="007755FE">
      <w:pPr>
        <w:jc w:val="center"/>
        <w:rPr>
          <w:rFonts w:ascii="Times New Roman" w:hAnsi="Times New Roman"/>
          <w:b/>
          <w:lang w:val="es-CO"/>
        </w:rPr>
      </w:pPr>
      <w:r w:rsidRPr="007755FE">
        <w:rPr>
          <w:rFonts w:ascii="Times New Roman" w:hAnsi="Times New Roman"/>
          <w:b/>
          <w:lang w:val="es-CO"/>
        </w:rPr>
        <w:t>EL GOBIERNO DE INDONESIA CONCEDIÓ 7 LICENCIAS OBLIGATORIAS PARA PROMOVER EL ACCESO A MEDICINAS RELACIONADAS CON EL VIH</w:t>
      </w:r>
      <w:r w:rsidR="008205AB">
        <w:rPr>
          <w:rStyle w:val="Refdenotaalpie"/>
          <w:rFonts w:ascii="Times New Roman" w:hAnsi="Times New Roman"/>
          <w:b/>
          <w:lang w:val="es-CO"/>
        </w:rPr>
        <w:footnoteReference w:id="1"/>
      </w:r>
    </w:p>
    <w:p w14:paraId="1B344F4F" w14:textId="77777777" w:rsidR="00EF5089" w:rsidRPr="007755FE" w:rsidRDefault="00EF5089" w:rsidP="007755FE">
      <w:pPr>
        <w:jc w:val="both"/>
        <w:rPr>
          <w:rFonts w:ascii="Times New Roman" w:hAnsi="Times New Roman"/>
          <w:lang w:val="es-CO"/>
        </w:rPr>
      </w:pPr>
    </w:p>
    <w:p w14:paraId="40D34ABD" w14:textId="42823A45" w:rsidR="004C1834" w:rsidRPr="007755FE" w:rsidRDefault="007755FE" w:rsidP="007755FE">
      <w:pPr>
        <w:jc w:val="both"/>
        <w:rPr>
          <w:rFonts w:ascii="Times New Roman" w:hAnsi="Times New Roman"/>
          <w:lang w:val="es-CO"/>
        </w:rPr>
      </w:pPr>
      <w:r>
        <w:rPr>
          <w:rFonts w:ascii="Times New Roman" w:hAnsi="Times New Roman"/>
          <w:lang w:val="es-CO"/>
        </w:rPr>
        <w:t>“</w:t>
      </w:r>
      <w:r w:rsidR="00B3729A" w:rsidRPr="007755FE">
        <w:rPr>
          <w:rFonts w:ascii="Times New Roman" w:hAnsi="Times New Roman"/>
          <w:lang w:val="es-CO"/>
        </w:rPr>
        <w:t>Comenzando con Malasia en 2003</w:t>
      </w:r>
      <w:r w:rsidR="004C2D16" w:rsidRPr="007755FE">
        <w:rPr>
          <w:rFonts w:ascii="Times New Roman" w:hAnsi="Times New Roman"/>
          <w:lang w:val="es-CO"/>
        </w:rPr>
        <w:t xml:space="preserve">, muchos países asiáticos están tomando acciones </w:t>
      </w:r>
      <w:r w:rsidRPr="007755FE">
        <w:rPr>
          <w:rFonts w:ascii="Times New Roman" w:hAnsi="Times New Roman"/>
          <w:lang w:val="es-CO"/>
        </w:rPr>
        <w:t xml:space="preserve">ahora </w:t>
      </w:r>
      <w:r w:rsidR="004C2D16" w:rsidRPr="007755FE">
        <w:rPr>
          <w:rFonts w:ascii="Times New Roman" w:hAnsi="Times New Roman"/>
          <w:lang w:val="es-CO"/>
        </w:rPr>
        <w:t xml:space="preserve">para promover medicinas más baratas a través del licenciamiento obligatorio, siendo Indonesia el </w:t>
      </w:r>
      <w:r>
        <w:rPr>
          <w:rFonts w:ascii="Times New Roman" w:hAnsi="Times New Roman"/>
          <w:lang w:val="es-CO"/>
        </w:rPr>
        <w:t>caso más reciente</w:t>
      </w:r>
      <w:r w:rsidR="004C2D16" w:rsidRPr="007755FE">
        <w:rPr>
          <w:rFonts w:ascii="Times New Roman" w:hAnsi="Times New Roman"/>
          <w:lang w:val="es-CO"/>
        </w:rPr>
        <w:t xml:space="preserve">. </w:t>
      </w:r>
      <w:r w:rsidR="002E1933" w:rsidRPr="007755FE">
        <w:rPr>
          <w:rFonts w:ascii="Times New Roman" w:hAnsi="Times New Roman"/>
          <w:lang w:val="es-CO"/>
        </w:rPr>
        <w:t>Recientes</w:t>
      </w:r>
      <w:r w:rsidR="00B3729A" w:rsidRPr="007755FE">
        <w:rPr>
          <w:rFonts w:ascii="Times New Roman" w:hAnsi="Times New Roman"/>
          <w:lang w:val="es-CO"/>
        </w:rPr>
        <w:t xml:space="preserve"> acciones gubernamentales </w:t>
      </w:r>
      <w:r w:rsidR="002E1933" w:rsidRPr="007755FE">
        <w:rPr>
          <w:rFonts w:ascii="Times New Roman" w:hAnsi="Times New Roman"/>
          <w:lang w:val="es-CO"/>
        </w:rPr>
        <w:t>provenientes</w:t>
      </w:r>
      <w:r w:rsidR="00B3729A" w:rsidRPr="007755FE">
        <w:rPr>
          <w:rFonts w:ascii="Times New Roman" w:hAnsi="Times New Roman"/>
          <w:lang w:val="es-CO"/>
        </w:rPr>
        <w:t xml:space="preserve"> de Indonesia e India para expedir licencias obligatorias – CL – están extendiendo la tendencia en Asia para incrementar el acceso a medicinas más baratas para el tratamiento de Dolores serios, especialmente aquellos relacionados con el VIH/SIDA, cáncer y Hepatitis B”</w:t>
      </w:r>
      <w:r w:rsidR="003C7B75" w:rsidRPr="007755FE">
        <w:rPr>
          <w:rStyle w:val="Refdenotaalpie"/>
          <w:rFonts w:ascii="Times New Roman" w:hAnsi="Times New Roman"/>
          <w:lang w:val="es-CO"/>
        </w:rPr>
        <w:t xml:space="preserve"> </w:t>
      </w:r>
      <w:r>
        <w:rPr>
          <w:rFonts w:ascii="Times New Roman" w:hAnsi="Times New Roman"/>
          <w:lang w:val="es-CO"/>
        </w:rPr>
        <w:t>(1)</w:t>
      </w:r>
      <w:r w:rsidR="00A7698E">
        <w:rPr>
          <w:rFonts w:ascii="Times New Roman" w:hAnsi="Times New Roman"/>
          <w:lang w:val="es-CO"/>
        </w:rPr>
        <w:t xml:space="preserve">. </w:t>
      </w:r>
      <w:r w:rsidR="00B3729A" w:rsidRPr="007755FE">
        <w:rPr>
          <w:rFonts w:ascii="Times New Roman" w:hAnsi="Times New Roman"/>
          <w:lang w:val="es-CO"/>
        </w:rPr>
        <w:t xml:space="preserve">En años </w:t>
      </w:r>
      <w:r w:rsidR="002E1933" w:rsidRPr="007755FE">
        <w:rPr>
          <w:rFonts w:ascii="Times New Roman" w:hAnsi="Times New Roman"/>
          <w:lang w:val="es-CO"/>
        </w:rPr>
        <w:t>recientes</w:t>
      </w:r>
      <w:r w:rsidR="00B3729A" w:rsidRPr="007755FE">
        <w:rPr>
          <w:rFonts w:ascii="Times New Roman" w:hAnsi="Times New Roman"/>
          <w:lang w:val="es-CO"/>
        </w:rPr>
        <w:t xml:space="preserve">, </w:t>
      </w:r>
      <w:r w:rsidR="00A7698E">
        <w:rPr>
          <w:rFonts w:ascii="Times New Roman" w:hAnsi="Times New Roman"/>
          <w:lang w:val="es-CO"/>
        </w:rPr>
        <w:t>algunos</w:t>
      </w:r>
      <w:r w:rsidR="00B3729A" w:rsidRPr="007755FE">
        <w:rPr>
          <w:rFonts w:ascii="Times New Roman" w:hAnsi="Times New Roman"/>
          <w:lang w:val="es-CO"/>
        </w:rPr>
        <w:t xml:space="preserve"> países han expedido licencias para mejorar el acceso a medicinas, incluyendo, Tailandia, Brasil, Malasia, Zambia</w:t>
      </w:r>
      <w:r w:rsidR="00A7698E">
        <w:rPr>
          <w:rFonts w:ascii="Times New Roman" w:hAnsi="Times New Roman"/>
          <w:lang w:val="es-CO"/>
        </w:rPr>
        <w:t>, Ecuador e India, entre otros.</w:t>
      </w:r>
    </w:p>
    <w:p w14:paraId="04E7019E" w14:textId="190236D8" w:rsidR="009C0710" w:rsidRPr="007755FE" w:rsidRDefault="00922D2C" w:rsidP="007755FE">
      <w:pPr>
        <w:jc w:val="both"/>
        <w:rPr>
          <w:rFonts w:ascii="Times New Roman" w:hAnsi="Times New Roman"/>
          <w:lang w:val="es-CO"/>
        </w:rPr>
      </w:pPr>
      <w:r w:rsidRPr="007755FE">
        <w:rPr>
          <w:rFonts w:ascii="Times New Roman" w:hAnsi="Times New Roman"/>
          <w:lang w:val="es-CO"/>
        </w:rPr>
        <w:t>El presidente de Indonesia Susilo Bambang Yudhoyono expidió un decreto el 3 de Septiembre</w:t>
      </w:r>
      <w:r w:rsidR="00B3729A" w:rsidRPr="007755FE">
        <w:rPr>
          <w:rFonts w:ascii="Times New Roman" w:hAnsi="Times New Roman"/>
          <w:lang w:val="es-CO"/>
        </w:rPr>
        <w:t xml:space="preserve"> de 2012</w:t>
      </w:r>
      <w:r w:rsidR="007755FE">
        <w:rPr>
          <w:rFonts w:ascii="Times New Roman" w:hAnsi="Times New Roman"/>
          <w:lang w:val="es-CO"/>
        </w:rPr>
        <w:t>,</w:t>
      </w:r>
      <w:r w:rsidR="00B3729A" w:rsidRPr="007755FE">
        <w:rPr>
          <w:rFonts w:ascii="Times New Roman" w:hAnsi="Times New Roman"/>
          <w:lang w:val="es-CO"/>
        </w:rPr>
        <w:t xml:space="preserve"> que habilita al gobierno a usar patentes para siete medicinas de VIH/SIDA y Hepatitis B. “Nosotros garantizaremos la disponibilidad de versiones genéricas de drogas anti</w:t>
      </w:r>
      <w:r w:rsidR="00E32A5A" w:rsidRPr="007755FE">
        <w:rPr>
          <w:rFonts w:ascii="Times New Roman" w:hAnsi="Times New Roman"/>
          <w:lang w:val="es-CO"/>
        </w:rPr>
        <w:t>r</w:t>
      </w:r>
      <w:r w:rsidR="00B3729A" w:rsidRPr="007755FE">
        <w:rPr>
          <w:rFonts w:ascii="Times New Roman" w:hAnsi="Times New Roman"/>
          <w:lang w:val="es-CO"/>
        </w:rPr>
        <w:t>retrovirales y antivirales que sean de buena calidad, seguras y efectivas”, dijo HM Subuh, Director del Control de Enfermedades Infeccionas en el Ministerio de Salud de Indonesia,</w:t>
      </w:r>
      <w:r w:rsidR="00E32A5A" w:rsidRPr="007755FE">
        <w:rPr>
          <w:rFonts w:ascii="Times New Roman" w:hAnsi="Times New Roman"/>
          <w:lang w:val="es-CO"/>
        </w:rPr>
        <w:t xml:space="preserve"> </w:t>
      </w:r>
      <w:r w:rsidR="00B3729A" w:rsidRPr="007755FE">
        <w:rPr>
          <w:rFonts w:ascii="Times New Roman" w:hAnsi="Times New Roman"/>
          <w:lang w:val="es-CO"/>
        </w:rPr>
        <w:t>citado en The Jakarta Post el 19 de Octubre.</w:t>
      </w:r>
    </w:p>
    <w:p w14:paraId="2D35AC6B" w14:textId="04FEC4C7" w:rsidR="00EE47A1" w:rsidRPr="007755FE" w:rsidRDefault="00FC6F03" w:rsidP="007755FE">
      <w:pPr>
        <w:jc w:val="both"/>
        <w:rPr>
          <w:rFonts w:ascii="Times New Roman" w:hAnsi="Times New Roman"/>
          <w:lang w:val="es-CO"/>
        </w:rPr>
      </w:pPr>
      <w:r w:rsidRPr="007755FE">
        <w:rPr>
          <w:rFonts w:ascii="Times New Roman" w:hAnsi="Times New Roman"/>
          <w:lang w:val="es-CO"/>
        </w:rPr>
        <w:t>Bajo el acuerdo de la Organizaci</w:t>
      </w:r>
      <w:r w:rsidR="00B3729A" w:rsidRPr="007755FE">
        <w:rPr>
          <w:rFonts w:ascii="Times New Roman" w:hAnsi="Times New Roman"/>
          <w:lang w:val="es-CO"/>
        </w:rPr>
        <w:t xml:space="preserve">ón Mundial de Comercio (OMS) sobre Aspectos de los Derechos de Propiedad Intelectual Relacionados con el Comercio (ADPIC), </w:t>
      </w:r>
      <w:r w:rsidR="00A7698E">
        <w:rPr>
          <w:rFonts w:ascii="Times New Roman" w:hAnsi="Times New Roman"/>
          <w:lang w:val="es-CO"/>
        </w:rPr>
        <w:t xml:space="preserve">los </w:t>
      </w:r>
      <w:r w:rsidR="00B3729A" w:rsidRPr="007755FE">
        <w:rPr>
          <w:rFonts w:ascii="Times New Roman" w:hAnsi="Times New Roman"/>
          <w:lang w:val="es-CO"/>
        </w:rPr>
        <w:t>miembros de la OMS tienen el derecho de otorgar licencias obligatorias, con el objetivo de promover el acceso a medicinas vitales.  No es la primera vez que el gobierno de Indonesia expide una licencia obligatoria (conocida en el caso de Indonesia como “de uso gubernamental”) para drogas del VIH; el decreto previo va hasta 2004 y 2007, pero el actual decreto de Indonesia puede representar el más amplio uso sencillo de licencias obligatorias para farmacéuticos por un país, desde la creación de la OMS en 1995.</w:t>
      </w:r>
    </w:p>
    <w:p w14:paraId="7F244A2D" w14:textId="77777777" w:rsidR="002F3A6A" w:rsidRPr="007755FE" w:rsidRDefault="00B3729A" w:rsidP="007755FE">
      <w:pPr>
        <w:jc w:val="both"/>
        <w:rPr>
          <w:rFonts w:ascii="Times New Roman" w:hAnsi="Times New Roman"/>
          <w:lang w:val="es-CO"/>
        </w:rPr>
      </w:pPr>
      <w:r w:rsidRPr="007755FE">
        <w:rPr>
          <w:rFonts w:ascii="Times New Roman" w:hAnsi="Times New Roman"/>
          <w:lang w:val="es-CO"/>
        </w:rPr>
        <w:t>El decreto renueva una licencia obligatoria previa expedida contra el antir</w:t>
      </w:r>
      <w:r w:rsidR="005E4E69" w:rsidRPr="007755FE">
        <w:rPr>
          <w:rFonts w:ascii="Times New Roman" w:hAnsi="Times New Roman"/>
          <w:lang w:val="es-CO"/>
        </w:rPr>
        <w:t>r</w:t>
      </w:r>
      <w:r w:rsidRPr="007755FE">
        <w:rPr>
          <w:rFonts w:ascii="Times New Roman" w:hAnsi="Times New Roman"/>
          <w:lang w:val="es-CO"/>
        </w:rPr>
        <w:t>etroviral de VIH (ARV) Sustiva (Efavirenz) de Merck &amp; Co (US) en 2007, y ad</w:t>
      </w:r>
      <w:r w:rsidR="002E1933" w:rsidRPr="007755FE">
        <w:rPr>
          <w:rFonts w:ascii="Times New Roman" w:hAnsi="Times New Roman"/>
          <w:lang w:val="es-CO"/>
        </w:rPr>
        <w:t>h</w:t>
      </w:r>
      <w:r w:rsidRPr="007755FE">
        <w:rPr>
          <w:rFonts w:ascii="Times New Roman" w:hAnsi="Times New Roman"/>
          <w:lang w:val="es-CO"/>
        </w:rPr>
        <w:t>iere 6 drogas más a la lista.</w:t>
      </w:r>
      <w:r w:rsidR="005E4E69" w:rsidRPr="007755FE">
        <w:rPr>
          <w:rFonts w:ascii="Times New Roman" w:hAnsi="Times New Roman"/>
          <w:lang w:val="es-CO"/>
        </w:rPr>
        <w:t xml:space="preserve"> Licencias obligatorias preexistentes de 2007 permanecen contra el ARV Viramune (nevirapine) de Boehringer Ingelheim (Alemania) y el tratamiento lamivudine para la hepatitis B de Shire Pharmaceutical (United Kingdom).</w:t>
      </w:r>
      <w:r w:rsidRPr="007755FE">
        <w:rPr>
          <w:rFonts w:ascii="Times New Roman" w:hAnsi="Times New Roman"/>
          <w:lang w:val="es-CO"/>
        </w:rPr>
        <w:t xml:space="preserve">  </w:t>
      </w:r>
      <w:r w:rsidR="00B723FD" w:rsidRPr="007755FE">
        <w:rPr>
          <w:rFonts w:ascii="Times New Roman" w:hAnsi="Times New Roman"/>
          <w:lang w:val="es-CO"/>
        </w:rPr>
        <w:t xml:space="preserve">Esas drogas pueden ser licenciadas ahora por el Ministerio de Salud para que las compañías farmacéuticas exploten patentes en nombre del gobierno, efectivo hasta el fin de término de cada patente, con </w:t>
      </w:r>
      <w:r w:rsidR="00B8194D" w:rsidRPr="007755FE">
        <w:rPr>
          <w:rFonts w:ascii="Times New Roman" w:hAnsi="Times New Roman"/>
          <w:lang w:val="es-CO"/>
        </w:rPr>
        <w:t xml:space="preserve">un pago de 0.5% de regalías al </w:t>
      </w:r>
      <w:r w:rsidR="00BC0409" w:rsidRPr="007755FE">
        <w:rPr>
          <w:rFonts w:ascii="Times New Roman" w:hAnsi="Times New Roman"/>
          <w:lang w:val="es-CO"/>
        </w:rPr>
        <w:t>titular de la pa</w:t>
      </w:r>
      <w:r w:rsidR="00B8194D" w:rsidRPr="007755FE">
        <w:rPr>
          <w:rFonts w:ascii="Times New Roman" w:hAnsi="Times New Roman"/>
          <w:lang w:val="es-CO"/>
        </w:rPr>
        <w:t>tente.</w:t>
      </w:r>
      <w:r w:rsidR="00BC0409" w:rsidRPr="007755FE">
        <w:rPr>
          <w:rFonts w:ascii="Times New Roman" w:hAnsi="Times New Roman"/>
          <w:lang w:val="es-CO"/>
        </w:rPr>
        <w:t xml:space="preserve"> A continuación,</w:t>
      </w:r>
      <w:r w:rsidR="00750807" w:rsidRPr="007755FE">
        <w:rPr>
          <w:rFonts w:ascii="Times New Roman" w:hAnsi="Times New Roman"/>
          <w:lang w:val="es-CO"/>
        </w:rPr>
        <w:t xml:space="preserve"> Resumen de las licencias obligatorias de Indonesia del 3 de Septiembre de 2012:</w:t>
      </w:r>
    </w:p>
    <w:p w14:paraId="2E3EA13A" w14:textId="77777777" w:rsidR="00EF5089" w:rsidRPr="007755FE" w:rsidRDefault="00EF5089" w:rsidP="007755FE">
      <w:pPr>
        <w:jc w:val="both"/>
        <w:rPr>
          <w:rFonts w:ascii="Times New Roman" w:hAnsi="Times New Roman"/>
          <w:lang w:val="es-CO"/>
        </w:rPr>
      </w:pPr>
    </w:p>
    <w:p w14:paraId="4C356D99" w14:textId="4B9EC31B" w:rsidR="0074686C" w:rsidRPr="00A7698E" w:rsidRDefault="00A7698E" w:rsidP="007755FE">
      <w:pPr>
        <w:shd w:val="clear" w:color="auto" w:fill="FFFFFF"/>
        <w:spacing w:after="360" w:line="270" w:lineRule="atLeast"/>
        <w:jc w:val="both"/>
        <w:rPr>
          <w:rFonts w:ascii="Times New Roman" w:eastAsia="Times New Roman" w:hAnsi="Times New Roman" w:cs="Arial"/>
          <w:color w:val="000000"/>
          <w:lang w:val="es-CO" w:eastAsia="es-ES_tradnl"/>
        </w:rPr>
      </w:pPr>
      <w:r w:rsidRPr="00A7698E">
        <w:rPr>
          <w:rFonts w:ascii="Times New Roman" w:eastAsia="Times New Roman" w:hAnsi="Times New Roman" w:cs="Arial"/>
          <w:b/>
          <w:bCs/>
          <w:iCs/>
          <w:color w:val="000000"/>
          <w:lang w:val="es-CO" w:eastAsia="es-ES_tradnl"/>
        </w:rPr>
        <w:t>Tabla 1.</w:t>
      </w:r>
      <w:r w:rsidRPr="00A7698E">
        <w:rPr>
          <w:rFonts w:ascii="Times New Roman" w:eastAsia="Times New Roman" w:hAnsi="Times New Roman" w:cs="Arial"/>
          <w:bCs/>
          <w:iCs/>
          <w:color w:val="000000"/>
          <w:lang w:val="es-CO" w:eastAsia="es-ES_tradnl"/>
        </w:rPr>
        <w:t xml:space="preserve"> </w:t>
      </w:r>
      <w:r w:rsidR="00C4011D">
        <w:rPr>
          <w:rFonts w:ascii="Times New Roman" w:eastAsia="Times New Roman" w:hAnsi="Times New Roman" w:cs="Arial"/>
          <w:bCs/>
          <w:iCs/>
          <w:color w:val="000000"/>
          <w:lang w:val="es-CO" w:eastAsia="es-ES_tradnl"/>
        </w:rPr>
        <w:t>Medicinas</w:t>
      </w:r>
      <w:r w:rsidR="006112B2" w:rsidRPr="00A7698E">
        <w:rPr>
          <w:rFonts w:ascii="Times New Roman" w:eastAsia="Times New Roman" w:hAnsi="Times New Roman" w:cs="Arial"/>
          <w:bCs/>
          <w:iCs/>
          <w:color w:val="000000"/>
          <w:lang w:val="es-CO" w:eastAsia="es-ES_tradnl"/>
        </w:rPr>
        <w:t xml:space="preserve"> licenciadas</w:t>
      </w:r>
      <w:r w:rsidR="00C4011D">
        <w:rPr>
          <w:rFonts w:ascii="Times New Roman" w:eastAsia="Times New Roman" w:hAnsi="Times New Roman" w:cs="Arial"/>
          <w:bCs/>
          <w:iCs/>
          <w:color w:val="000000"/>
          <w:lang w:val="es-CO" w:eastAsia="es-ES_tradnl"/>
        </w:rPr>
        <w:t xml:space="preserve"> (2)</w:t>
      </w:r>
      <w:r>
        <w:rPr>
          <w:rFonts w:ascii="Times New Roman" w:eastAsia="Times New Roman" w:hAnsi="Times New Roman" w:cs="Arial"/>
          <w:bCs/>
          <w:iCs/>
          <w:color w:val="000000"/>
          <w:lang w:val="es-CO" w:eastAsia="es-ES_tradnl"/>
        </w:rPr>
        <w:t>.</w:t>
      </w:r>
    </w:p>
    <w:tbl>
      <w:tblPr>
        <w:tblW w:w="0" w:type="auto"/>
        <w:jc w:val="center"/>
        <w:tblCellMar>
          <w:left w:w="0" w:type="dxa"/>
          <w:right w:w="0" w:type="dxa"/>
        </w:tblCellMar>
        <w:tblLook w:val="04A0" w:firstRow="1" w:lastRow="0" w:firstColumn="1" w:lastColumn="0" w:noHBand="0" w:noVBand="1"/>
      </w:tblPr>
      <w:tblGrid>
        <w:gridCol w:w="2298"/>
        <w:gridCol w:w="2243"/>
        <w:gridCol w:w="2010"/>
        <w:gridCol w:w="2479"/>
      </w:tblGrid>
      <w:tr w:rsidR="0074686C" w:rsidRPr="00A7698E" w14:paraId="77ABF047" w14:textId="77777777" w:rsidTr="002564AE">
        <w:trPr>
          <w:jc w:val="center"/>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BA582E" w14:textId="77777777" w:rsidR="0074686C" w:rsidRPr="00A7698E" w:rsidRDefault="006112B2" w:rsidP="00A7698E">
            <w:pPr>
              <w:spacing w:after="0" w:line="240" w:lineRule="auto"/>
              <w:jc w:val="center"/>
              <w:rPr>
                <w:rFonts w:ascii="Times New Roman" w:eastAsia="Times New Roman" w:hAnsi="Times New Roman" w:cs="Arial"/>
                <w:b/>
                <w:color w:val="000000"/>
                <w:sz w:val="20"/>
                <w:szCs w:val="20"/>
                <w:lang w:val="es-CO" w:eastAsia="es-ES_tradnl"/>
              </w:rPr>
            </w:pPr>
            <w:r w:rsidRPr="00A7698E">
              <w:rPr>
                <w:rFonts w:ascii="Times New Roman" w:eastAsia="Times New Roman" w:hAnsi="Times New Roman" w:cs="Arial"/>
                <w:b/>
                <w:color w:val="000000"/>
                <w:sz w:val="20"/>
                <w:szCs w:val="20"/>
                <w:lang w:val="es-CO" w:eastAsia="es-ES_tradnl"/>
              </w:rPr>
              <w:t>SUSTANCIA ACTIVA</w:t>
            </w: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D5AF21" w14:textId="77777777" w:rsidR="0074686C" w:rsidRPr="00A7698E" w:rsidRDefault="006112B2" w:rsidP="00A7698E">
            <w:pPr>
              <w:spacing w:after="0" w:line="240" w:lineRule="auto"/>
              <w:jc w:val="center"/>
              <w:rPr>
                <w:rFonts w:ascii="Times New Roman" w:eastAsia="Times New Roman" w:hAnsi="Times New Roman" w:cs="Arial"/>
                <w:b/>
                <w:color w:val="000000"/>
                <w:sz w:val="20"/>
                <w:szCs w:val="20"/>
                <w:lang w:val="es-CO" w:eastAsia="es-ES_tradnl"/>
              </w:rPr>
            </w:pPr>
            <w:r w:rsidRPr="00A7698E">
              <w:rPr>
                <w:rFonts w:ascii="Times New Roman" w:eastAsia="Times New Roman" w:hAnsi="Times New Roman" w:cs="Arial"/>
                <w:b/>
                <w:color w:val="000000"/>
                <w:sz w:val="20"/>
                <w:szCs w:val="20"/>
                <w:lang w:val="es-CO" w:eastAsia="es-ES_tradnl"/>
              </w:rPr>
              <w:t>TITULAR DE LA PATENTE</w:t>
            </w:r>
          </w:p>
        </w:tc>
        <w:tc>
          <w:tcPr>
            <w:tcW w:w="2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AC7DB3" w14:textId="77777777" w:rsidR="0074686C" w:rsidRPr="00A7698E" w:rsidRDefault="006112B2" w:rsidP="00A7698E">
            <w:pPr>
              <w:spacing w:after="0" w:line="240" w:lineRule="auto"/>
              <w:jc w:val="center"/>
              <w:rPr>
                <w:rFonts w:ascii="Times New Roman" w:eastAsia="Times New Roman" w:hAnsi="Times New Roman" w:cs="Arial"/>
                <w:b/>
                <w:color w:val="000000"/>
                <w:sz w:val="20"/>
                <w:szCs w:val="20"/>
                <w:lang w:val="es-CO" w:eastAsia="es-ES_tradnl"/>
              </w:rPr>
            </w:pPr>
            <w:r w:rsidRPr="00A7698E">
              <w:rPr>
                <w:rFonts w:ascii="Times New Roman" w:eastAsia="Times New Roman" w:hAnsi="Times New Roman" w:cs="Arial"/>
                <w:b/>
                <w:color w:val="000000"/>
                <w:sz w:val="20"/>
                <w:szCs w:val="20"/>
                <w:lang w:val="es-CO" w:eastAsia="es-ES_tradnl"/>
              </w:rPr>
              <w:t>NÚMERO DE LA PATENTE</w:t>
            </w:r>
          </w:p>
        </w:tc>
        <w:tc>
          <w:tcPr>
            <w:tcW w:w="24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5F0768" w14:textId="77777777" w:rsidR="0074686C" w:rsidRPr="00A7698E" w:rsidRDefault="006112B2" w:rsidP="00A7698E">
            <w:pPr>
              <w:spacing w:after="0" w:line="240" w:lineRule="auto"/>
              <w:jc w:val="center"/>
              <w:rPr>
                <w:rFonts w:ascii="Times New Roman" w:eastAsia="Times New Roman" w:hAnsi="Times New Roman" w:cs="Arial"/>
                <w:b/>
                <w:color w:val="000000"/>
                <w:sz w:val="20"/>
                <w:szCs w:val="20"/>
                <w:lang w:val="es-CO" w:eastAsia="es-ES_tradnl"/>
              </w:rPr>
            </w:pPr>
            <w:r w:rsidRPr="00A7698E">
              <w:rPr>
                <w:rFonts w:ascii="Times New Roman" w:eastAsia="Times New Roman" w:hAnsi="Times New Roman" w:cs="Arial"/>
                <w:b/>
                <w:color w:val="000000"/>
                <w:sz w:val="20"/>
                <w:szCs w:val="20"/>
                <w:lang w:val="es-CO" w:eastAsia="es-ES_tradnl"/>
              </w:rPr>
              <w:t>DURANCIÓN DE LA PATENTE</w:t>
            </w:r>
          </w:p>
        </w:tc>
      </w:tr>
      <w:tr w:rsidR="0074686C" w:rsidRPr="00A7698E" w14:paraId="2391AD1E" w14:textId="77777777" w:rsidTr="002564AE">
        <w:trPr>
          <w:jc w:val="center"/>
        </w:trPr>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2DC948"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Efavirenz</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8FA1CD"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Merck &amp; Co., INC</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3F1CB9"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ID 0005812</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3DCA95" w14:textId="77777777" w:rsidR="0074686C" w:rsidRPr="00A7698E" w:rsidRDefault="006112B2"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Hasta el fin del período de la patente</w:t>
            </w:r>
            <w:r w:rsidR="00B3729A" w:rsidRPr="00A7698E">
              <w:rPr>
                <w:rFonts w:ascii="Times New Roman" w:eastAsia="Times New Roman" w:hAnsi="Times New Roman" w:cs="Arial"/>
                <w:color w:val="000000"/>
                <w:sz w:val="20"/>
                <w:szCs w:val="20"/>
                <w:lang w:val="es-CO" w:eastAsia="es-ES_tradnl"/>
              </w:rPr>
              <w:t xml:space="preserve">, </w:t>
            </w:r>
            <w:r w:rsidRPr="00A7698E">
              <w:rPr>
                <w:rFonts w:ascii="Times New Roman" w:eastAsia="Times New Roman" w:hAnsi="Times New Roman" w:cs="Arial"/>
                <w:color w:val="000000"/>
                <w:sz w:val="20"/>
                <w:szCs w:val="20"/>
                <w:lang w:val="es-CO" w:eastAsia="es-ES_tradnl"/>
              </w:rPr>
              <w:t>7 de Agosto de 2013</w:t>
            </w:r>
          </w:p>
        </w:tc>
      </w:tr>
      <w:tr w:rsidR="0074686C" w:rsidRPr="00A7698E" w14:paraId="06CC0835" w14:textId="77777777" w:rsidTr="002564AE">
        <w:trPr>
          <w:jc w:val="center"/>
        </w:trPr>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AB1C76"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Abacavir</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D6F9610"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Glaxo Group Limited</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CAA53"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ID 0011367</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87EE2B6" w14:textId="77777777" w:rsidR="0074686C" w:rsidRPr="00A7698E" w:rsidRDefault="006112B2"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Hasta el fin del período de la patente,14 de Mayo de 2018</w:t>
            </w:r>
          </w:p>
        </w:tc>
      </w:tr>
      <w:tr w:rsidR="0074686C" w:rsidRPr="00A7698E" w14:paraId="7345FEF1" w14:textId="77777777" w:rsidTr="002564AE">
        <w:trPr>
          <w:jc w:val="center"/>
        </w:trPr>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63938C"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Didanosine</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2047D5"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 xml:space="preserve">Bristol - Myers Squibb </w:t>
            </w:r>
            <w:r w:rsidRPr="00A7698E">
              <w:rPr>
                <w:rFonts w:ascii="Times New Roman" w:eastAsia="Times New Roman" w:hAnsi="Times New Roman" w:cs="Arial"/>
                <w:color w:val="000000"/>
                <w:sz w:val="20"/>
                <w:szCs w:val="20"/>
                <w:lang w:val="es-CO" w:eastAsia="es-ES_tradnl"/>
              </w:rPr>
              <w:lastRenderedPageBreak/>
              <w:t>Company</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70BEC0"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lastRenderedPageBreak/>
              <w:t>ID 0010163</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85295B4" w14:textId="77777777" w:rsidR="0074686C" w:rsidRPr="00A7698E" w:rsidRDefault="006112B2"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 xml:space="preserve">Hasta el fin del período de </w:t>
            </w:r>
            <w:r w:rsidRPr="00A7698E">
              <w:rPr>
                <w:rFonts w:ascii="Times New Roman" w:eastAsia="Times New Roman" w:hAnsi="Times New Roman" w:cs="Arial"/>
                <w:color w:val="000000"/>
                <w:sz w:val="20"/>
                <w:szCs w:val="20"/>
                <w:lang w:val="es-CO" w:eastAsia="es-ES_tradnl"/>
              </w:rPr>
              <w:lastRenderedPageBreak/>
              <w:t>la patente,</w:t>
            </w:r>
            <w:r w:rsidR="00BC0409" w:rsidRPr="00A7698E">
              <w:rPr>
                <w:rFonts w:ascii="Times New Roman" w:eastAsia="Times New Roman" w:hAnsi="Times New Roman" w:cs="Arial"/>
                <w:color w:val="000000"/>
                <w:sz w:val="20"/>
                <w:szCs w:val="20"/>
                <w:lang w:val="es-CO" w:eastAsia="es-ES_tradnl"/>
              </w:rPr>
              <w:t xml:space="preserve"> </w:t>
            </w:r>
            <w:r w:rsidRPr="00A7698E">
              <w:rPr>
                <w:rFonts w:ascii="Times New Roman" w:eastAsia="Times New Roman" w:hAnsi="Times New Roman" w:cs="Arial"/>
                <w:color w:val="000000"/>
                <w:sz w:val="20"/>
                <w:szCs w:val="20"/>
                <w:lang w:val="es-CO" w:eastAsia="es-ES_tradnl"/>
              </w:rPr>
              <w:t>6 de Agosto de 2018</w:t>
            </w:r>
          </w:p>
        </w:tc>
      </w:tr>
      <w:tr w:rsidR="0074686C" w:rsidRPr="00A7698E" w14:paraId="64001373" w14:textId="77777777" w:rsidTr="002564AE">
        <w:trPr>
          <w:jc w:val="center"/>
        </w:trPr>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525A9C" w14:textId="6B4B2F59" w:rsidR="0074686C" w:rsidRPr="00A7698E" w:rsidRDefault="002564AE" w:rsidP="002564AE">
            <w:pPr>
              <w:spacing w:after="0" w:line="240" w:lineRule="auto"/>
              <w:jc w:val="center"/>
              <w:rPr>
                <w:rFonts w:ascii="Times New Roman" w:eastAsia="Times New Roman" w:hAnsi="Times New Roman" w:cs="Arial"/>
                <w:color w:val="000000"/>
                <w:sz w:val="20"/>
                <w:szCs w:val="20"/>
                <w:lang w:val="es-CO" w:eastAsia="es-ES_tradnl"/>
              </w:rPr>
            </w:pPr>
            <w:r>
              <w:rPr>
                <w:rFonts w:ascii="Times New Roman" w:eastAsia="Times New Roman" w:hAnsi="Times New Roman" w:cs="Arial"/>
                <w:color w:val="000000"/>
                <w:sz w:val="20"/>
                <w:szCs w:val="20"/>
                <w:lang w:val="es-CO" w:eastAsia="es-ES_tradnl"/>
              </w:rPr>
              <w:lastRenderedPageBreak/>
              <w:t>Combinació</w:t>
            </w:r>
            <w:r w:rsidR="00B3729A" w:rsidRPr="00A7698E">
              <w:rPr>
                <w:rFonts w:ascii="Times New Roman" w:eastAsia="Times New Roman" w:hAnsi="Times New Roman" w:cs="Arial"/>
                <w:color w:val="000000"/>
                <w:sz w:val="20"/>
                <w:szCs w:val="20"/>
                <w:lang w:val="es-CO" w:eastAsia="es-ES_tradnl"/>
              </w:rPr>
              <w:t xml:space="preserve">n Lopinavir </w:t>
            </w:r>
            <w:r>
              <w:rPr>
                <w:rFonts w:ascii="Times New Roman" w:eastAsia="Times New Roman" w:hAnsi="Times New Roman" w:cs="Arial"/>
                <w:color w:val="000000"/>
                <w:sz w:val="20"/>
                <w:szCs w:val="20"/>
                <w:lang w:val="es-CO" w:eastAsia="es-ES_tradnl"/>
              </w:rPr>
              <w:t>y</w:t>
            </w:r>
            <w:r w:rsidR="00B3729A" w:rsidRPr="00A7698E">
              <w:rPr>
                <w:rFonts w:ascii="Times New Roman" w:eastAsia="Times New Roman" w:hAnsi="Times New Roman" w:cs="Arial"/>
                <w:color w:val="000000"/>
                <w:sz w:val="20"/>
                <w:szCs w:val="20"/>
                <w:lang w:val="es-CO" w:eastAsia="es-ES_tradnl"/>
              </w:rPr>
              <w:t xml:space="preserve"> Ritonavir</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6B04A3"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Abbott Laboratories</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DC59F"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ID 0023461</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B32786" w14:textId="77777777" w:rsidR="0074686C" w:rsidRPr="00A7698E" w:rsidRDefault="006112B2"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Hasta el fin del período de la patente,</w:t>
            </w:r>
            <w:r w:rsidR="00BC0409" w:rsidRPr="00A7698E">
              <w:rPr>
                <w:rFonts w:ascii="Times New Roman" w:eastAsia="Times New Roman" w:hAnsi="Times New Roman" w:cs="Arial"/>
                <w:color w:val="000000"/>
                <w:sz w:val="20"/>
                <w:szCs w:val="20"/>
                <w:lang w:val="es-CO" w:eastAsia="es-ES_tradnl"/>
              </w:rPr>
              <w:t xml:space="preserve"> </w:t>
            </w:r>
            <w:r w:rsidRPr="00A7698E">
              <w:rPr>
                <w:rFonts w:ascii="Times New Roman" w:eastAsia="Times New Roman" w:hAnsi="Times New Roman" w:cs="Arial"/>
                <w:color w:val="000000"/>
                <w:sz w:val="20"/>
                <w:szCs w:val="20"/>
                <w:lang w:val="es-CO" w:eastAsia="es-ES_tradnl"/>
              </w:rPr>
              <w:t>23 de Agosto de 2018</w:t>
            </w:r>
          </w:p>
        </w:tc>
      </w:tr>
      <w:tr w:rsidR="0074686C" w:rsidRPr="00A7698E" w14:paraId="393C15B6" w14:textId="77777777" w:rsidTr="002564AE">
        <w:trPr>
          <w:jc w:val="center"/>
        </w:trPr>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F6FF76"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Tenofovir</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34628"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Gilead Sciences, Inc.</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9742C7"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ID 0007658</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E98265" w14:textId="77777777" w:rsidR="0074686C" w:rsidRPr="00A7698E" w:rsidRDefault="00D92A26"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Hasta el fin del período de la patente, Julio 23 de 2018</w:t>
            </w:r>
          </w:p>
        </w:tc>
      </w:tr>
      <w:tr w:rsidR="0074686C" w:rsidRPr="00A7698E" w14:paraId="4E2A17E0" w14:textId="77777777" w:rsidTr="002564AE">
        <w:trPr>
          <w:jc w:val="center"/>
        </w:trPr>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19C9B9" w14:textId="21151675" w:rsidR="0074686C" w:rsidRPr="00A7698E" w:rsidRDefault="002564AE" w:rsidP="00A7698E">
            <w:pPr>
              <w:spacing w:after="0" w:line="240" w:lineRule="auto"/>
              <w:jc w:val="center"/>
              <w:rPr>
                <w:rFonts w:ascii="Times New Roman" w:eastAsia="Times New Roman" w:hAnsi="Times New Roman" w:cs="Arial"/>
                <w:color w:val="000000"/>
                <w:sz w:val="20"/>
                <w:szCs w:val="20"/>
                <w:lang w:val="en-US" w:eastAsia="es-ES_tradnl"/>
              </w:rPr>
            </w:pPr>
            <w:proofErr w:type="spellStart"/>
            <w:r>
              <w:rPr>
                <w:rFonts w:ascii="Times New Roman" w:eastAsia="Times New Roman" w:hAnsi="Times New Roman" w:cs="Arial"/>
                <w:color w:val="000000"/>
                <w:sz w:val="20"/>
                <w:szCs w:val="20"/>
                <w:lang w:val="en-US" w:eastAsia="es-ES_tradnl"/>
              </w:rPr>
              <w:t>Combinación</w:t>
            </w:r>
            <w:proofErr w:type="spellEnd"/>
            <w:r>
              <w:rPr>
                <w:rFonts w:ascii="Times New Roman" w:eastAsia="Times New Roman" w:hAnsi="Times New Roman" w:cs="Arial"/>
                <w:color w:val="000000"/>
                <w:sz w:val="20"/>
                <w:szCs w:val="20"/>
                <w:lang w:val="en-US" w:eastAsia="es-ES_tradnl"/>
              </w:rPr>
              <w:t xml:space="preserve"> de</w:t>
            </w:r>
            <w:r w:rsidR="00B3729A" w:rsidRPr="00A7698E">
              <w:rPr>
                <w:rFonts w:ascii="Times New Roman" w:eastAsia="Times New Roman" w:hAnsi="Times New Roman" w:cs="Arial"/>
                <w:color w:val="000000"/>
                <w:sz w:val="20"/>
                <w:szCs w:val="20"/>
                <w:lang w:val="en-US" w:eastAsia="es-ES_tradnl"/>
              </w:rPr>
              <w:t xml:space="preserve"> Tenofovir </w:t>
            </w:r>
            <w:r>
              <w:rPr>
                <w:rFonts w:ascii="Times New Roman" w:eastAsia="Times New Roman" w:hAnsi="Times New Roman" w:cs="Arial"/>
                <w:color w:val="000000"/>
                <w:sz w:val="20"/>
                <w:szCs w:val="20"/>
                <w:lang w:val="en-US" w:eastAsia="es-ES_tradnl"/>
              </w:rPr>
              <w:t>y</w:t>
            </w:r>
            <w:r w:rsidR="00B3729A" w:rsidRPr="00A7698E">
              <w:rPr>
                <w:rFonts w:ascii="Times New Roman" w:eastAsia="Times New Roman" w:hAnsi="Times New Roman" w:cs="Arial"/>
                <w:color w:val="000000"/>
                <w:sz w:val="20"/>
                <w:szCs w:val="20"/>
                <w:lang w:val="en-US" w:eastAsia="es-ES_tradnl"/>
              </w:rPr>
              <w:t xml:space="preserve"> Emtricitabine</w:t>
            </w:r>
          </w:p>
          <w:p w14:paraId="655C998B" w14:textId="68BD7A24" w:rsidR="0074686C" w:rsidRPr="00A7698E" w:rsidRDefault="002564AE" w:rsidP="002564AE">
            <w:pPr>
              <w:spacing w:after="0" w:line="240" w:lineRule="auto"/>
              <w:jc w:val="center"/>
              <w:rPr>
                <w:rFonts w:ascii="Times New Roman" w:eastAsia="Times New Roman" w:hAnsi="Times New Roman" w:cs="Arial"/>
                <w:color w:val="000000"/>
                <w:sz w:val="20"/>
                <w:szCs w:val="20"/>
                <w:lang w:val="en-US" w:eastAsia="es-ES_tradnl"/>
              </w:rPr>
            </w:pPr>
            <w:proofErr w:type="spellStart"/>
            <w:r>
              <w:rPr>
                <w:rFonts w:ascii="Times New Roman" w:eastAsia="Times New Roman" w:hAnsi="Times New Roman" w:cs="Arial"/>
                <w:color w:val="000000"/>
                <w:sz w:val="20"/>
                <w:szCs w:val="20"/>
                <w:lang w:val="en-US" w:eastAsia="es-ES_tradnl"/>
              </w:rPr>
              <w:t>Combinación</w:t>
            </w:r>
            <w:proofErr w:type="spellEnd"/>
            <w:r>
              <w:rPr>
                <w:rFonts w:ascii="Times New Roman" w:eastAsia="Times New Roman" w:hAnsi="Times New Roman" w:cs="Arial"/>
                <w:color w:val="000000"/>
                <w:sz w:val="20"/>
                <w:szCs w:val="20"/>
                <w:lang w:val="en-US" w:eastAsia="es-ES_tradnl"/>
              </w:rPr>
              <w:t xml:space="preserve"> de</w:t>
            </w:r>
            <w:r w:rsidR="00B3729A" w:rsidRPr="00A7698E">
              <w:rPr>
                <w:rFonts w:ascii="Times New Roman" w:eastAsia="Times New Roman" w:hAnsi="Times New Roman" w:cs="Arial"/>
                <w:color w:val="000000"/>
                <w:sz w:val="20"/>
                <w:szCs w:val="20"/>
                <w:lang w:val="en-US" w:eastAsia="es-ES_tradnl"/>
              </w:rPr>
              <w:t xml:space="preserve"> Tenofovir, Emtricitabine </w:t>
            </w:r>
            <w:r>
              <w:rPr>
                <w:rFonts w:ascii="Times New Roman" w:eastAsia="Times New Roman" w:hAnsi="Times New Roman" w:cs="Arial"/>
                <w:color w:val="000000"/>
                <w:sz w:val="20"/>
                <w:szCs w:val="20"/>
                <w:lang w:val="en-US" w:eastAsia="es-ES_tradnl"/>
              </w:rPr>
              <w:t>y</w:t>
            </w:r>
            <w:r w:rsidR="00B3729A" w:rsidRPr="00A7698E">
              <w:rPr>
                <w:rFonts w:ascii="Times New Roman" w:eastAsia="Times New Roman" w:hAnsi="Times New Roman" w:cs="Arial"/>
                <w:color w:val="000000"/>
                <w:sz w:val="20"/>
                <w:szCs w:val="20"/>
                <w:lang w:val="en-US" w:eastAsia="es-ES_tradnl"/>
              </w:rPr>
              <w:t xml:space="preserve"> Evafirenz</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B5372"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Gilead Sciences, Inc.</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D101D" w14:textId="77777777" w:rsidR="0074686C" w:rsidRPr="00A7698E" w:rsidRDefault="00B3729A"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ID P0029476</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FD7E4" w14:textId="77777777" w:rsidR="0074686C" w:rsidRPr="00A7698E" w:rsidRDefault="00D92A26" w:rsidP="00A7698E">
            <w:pPr>
              <w:spacing w:after="0" w:line="240" w:lineRule="auto"/>
              <w:jc w:val="center"/>
              <w:rPr>
                <w:rFonts w:ascii="Times New Roman" w:eastAsia="Times New Roman" w:hAnsi="Times New Roman" w:cs="Arial"/>
                <w:color w:val="000000"/>
                <w:sz w:val="20"/>
                <w:szCs w:val="20"/>
                <w:lang w:val="es-CO" w:eastAsia="es-ES_tradnl"/>
              </w:rPr>
            </w:pPr>
            <w:r w:rsidRPr="00A7698E">
              <w:rPr>
                <w:rFonts w:ascii="Times New Roman" w:eastAsia="Times New Roman" w:hAnsi="Times New Roman" w:cs="Arial"/>
                <w:color w:val="000000"/>
                <w:sz w:val="20"/>
                <w:szCs w:val="20"/>
                <w:lang w:val="es-CO" w:eastAsia="es-ES_tradnl"/>
              </w:rPr>
              <w:t>Hasta el fin del período de la patente,</w:t>
            </w:r>
            <w:r w:rsidR="00B3729A" w:rsidRPr="00A7698E">
              <w:rPr>
                <w:rFonts w:ascii="Times New Roman" w:eastAsia="Times New Roman" w:hAnsi="Times New Roman" w:cs="Arial"/>
                <w:color w:val="000000"/>
                <w:sz w:val="20"/>
                <w:szCs w:val="20"/>
                <w:lang w:val="es-CO" w:eastAsia="es-ES_tradnl"/>
              </w:rPr>
              <w:t xml:space="preserve"> </w:t>
            </w:r>
            <w:r w:rsidRPr="00A7698E">
              <w:rPr>
                <w:rFonts w:ascii="Times New Roman" w:eastAsia="Times New Roman" w:hAnsi="Times New Roman" w:cs="Arial"/>
                <w:color w:val="000000"/>
                <w:sz w:val="20"/>
                <w:szCs w:val="20"/>
                <w:lang w:val="es-CO" w:eastAsia="es-ES_tradnl"/>
              </w:rPr>
              <w:t>3 de Noviembre de 2024</w:t>
            </w:r>
          </w:p>
        </w:tc>
      </w:tr>
    </w:tbl>
    <w:p w14:paraId="7942A481" w14:textId="77777777" w:rsidR="0074686C" w:rsidRPr="007755FE" w:rsidRDefault="0074686C" w:rsidP="007755FE">
      <w:pPr>
        <w:jc w:val="both"/>
        <w:rPr>
          <w:rFonts w:ascii="Times New Roman" w:hAnsi="Times New Roman"/>
          <w:lang w:val="es-ES"/>
        </w:rPr>
      </w:pPr>
    </w:p>
    <w:p w14:paraId="0CADDCDB" w14:textId="342D732A" w:rsidR="006D7489" w:rsidRPr="007755FE" w:rsidRDefault="00B3729A" w:rsidP="007755FE">
      <w:pPr>
        <w:jc w:val="both"/>
        <w:rPr>
          <w:rFonts w:ascii="Times New Roman" w:hAnsi="Times New Roman"/>
          <w:lang w:val="es-ES"/>
        </w:rPr>
      </w:pPr>
      <w:r w:rsidRPr="007755FE">
        <w:rPr>
          <w:rFonts w:ascii="Times New Roman" w:hAnsi="Times New Roman"/>
          <w:lang w:val="es-CO"/>
        </w:rPr>
        <w:t>”Indonesia ha establecido un importante precedente, no s</w:t>
      </w:r>
      <w:r w:rsidR="00C20D7D">
        <w:rPr>
          <w:rFonts w:ascii="Times New Roman" w:hAnsi="Times New Roman"/>
          <w:lang w:val="es-CO"/>
        </w:rPr>
        <w:t>ó</w:t>
      </w:r>
      <w:r w:rsidRPr="007755FE">
        <w:rPr>
          <w:rFonts w:ascii="Times New Roman" w:hAnsi="Times New Roman"/>
          <w:lang w:val="es-CO"/>
        </w:rPr>
        <w:t xml:space="preserve">lo para la gente que vive con VIH dentro de su país, quien ha venido batallando con esto, sino para otros países en desarrollo”, (…) Mientras </w:t>
      </w:r>
      <w:r w:rsidR="00BC0409" w:rsidRPr="007755FE">
        <w:rPr>
          <w:rFonts w:ascii="Times New Roman" w:hAnsi="Times New Roman"/>
          <w:lang w:val="es-CO"/>
        </w:rPr>
        <w:t xml:space="preserve">que </w:t>
      </w:r>
      <w:r w:rsidRPr="007755FE">
        <w:rPr>
          <w:rFonts w:ascii="Times New Roman" w:hAnsi="Times New Roman"/>
          <w:lang w:val="es-CO"/>
        </w:rPr>
        <w:t>las medicinas para VIH y Hepatitis B se están incrementando bajo patentes en países en desarrollo, Indonesia ha demostrado que los países pueden y deben tomar acciones para permitir la producción de versiones de bajo costo de medicinas salva-vidas</w:t>
      </w:r>
      <w:r w:rsidR="00C20D7D">
        <w:rPr>
          <w:rFonts w:ascii="Times New Roman" w:hAnsi="Times New Roman"/>
          <w:lang w:val="es-CO"/>
        </w:rPr>
        <w:t>,</w:t>
      </w:r>
      <w:r w:rsidRPr="007755FE">
        <w:rPr>
          <w:rFonts w:ascii="Times New Roman" w:hAnsi="Times New Roman"/>
          <w:lang w:val="es-CO"/>
        </w:rPr>
        <w:t xml:space="preserve"> es</w:t>
      </w:r>
      <w:r w:rsidR="00C20D7D">
        <w:rPr>
          <w:rFonts w:ascii="Times New Roman" w:hAnsi="Times New Roman"/>
          <w:lang w:val="es-CO"/>
        </w:rPr>
        <w:t xml:space="preserve">enciales para sus ciudadanos. </w:t>
      </w:r>
      <w:r w:rsidRPr="007755FE">
        <w:rPr>
          <w:rFonts w:ascii="Times New Roman" w:hAnsi="Times New Roman"/>
          <w:lang w:val="es-CO"/>
        </w:rPr>
        <w:t xml:space="preserve">El próximo paso es </w:t>
      </w:r>
      <w:r w:rsidR="00BC0409" w:rsidRPr="007755FE">
        <w:rPr>
          <w:rFonts w:ascii="Times New Roman" w:hAnsi="Times New Roman"/>
          <w:lang w:val="es-CO"/>
        </w:rPr>
        <w:t xml:space="preserve">la </w:t>
      </w:r>
      <w:r w:rsidRPr="007755FE">
        <w:rPr>
          <w:rFonts w:ascii="Times New Roman" w:hAnsi="Times New Roman"/>
          <w:lang w:val="es-CO"/>
        </w:rPr>
        <w:t xml:space="preserve">completa implementación del decreto. </w:t>
      </w:r>
      <w:r w:rsidR="007B77B9" w:rsidRPr="007755FE" w:rsidDel="007B77B9">
        <w:rPr>
          <w:rStyle w:val="Refdenotaalpie"/>
          <w:rFonts w:ascii="Times New Roman" w:hAnsi="Times New Roman"/>
          <w:lang w:val="es-CO"/>
        </w:rPr>
        <w:t xml:space="preserve"> </w:t>
      </w:r>
      <w:r w:rsidRPr="007755FE">
        <w:rPr>
          <w:rFonts w:ascii="Times New Roman" w:hAnsi="Times New Roman"/>
          <w:lang w:val="es-CO"/>
        </w:rPr>
        <w:t>Otros países</w:t>
      </w:r>
      <w:r w:rsidR="00BC0409" w:rsidRPr="007755FE">
        <w:rPr>
          <w:rFonts w:ascii="Times New Roman" w:hAnsi="Times New Roman"/>
          <w:lang w:val="es-CO"/>
        </w:rPr>
        <w:t>,</w:t>
      </w:r>
      <w:r w:rsidRPr="007755FE">
        <w:rPr>
          <w:rFonts w:ascii="Times New Roman" w:hAnsi="Times New Roman"/>
          <w:lang w:val="es-CO"/>
        </w:rPr>
        <w:t xml:space="preserve"> que han enfrentado bloqueos en el acceso a medicinas genéricas</w:t>
      </w:r>
      <w:r w:rsidR="00BC0409" w:rsidRPr="007755FE">
        <w:rPr>
          <w:rFonts w:ascii="Times New Roman" w:hAnsi="Times New Roman"/>
          <w:lang w:val="es-CO"/>
        </w:rPr>
        <w:t>,</w:t>
      </w:r>
      <w:r w:rsidRPr="007755FE">
        <w:rPr>
          <w:rFonts w:ascii="Times New Roman" w:hAnsi="Times New Roman"/>
          <w:lang w:val="es-CO"/>
        </w:rPr>
        <w:t xml:space="preserve"> deberían considerar el seguir el ejemplo de Indonesia”, dijo Michelle Childs de Médicos Sin Fronteras (Medecins Sans Frontieres –MSF)</w:t>
      </w:r>
      <w:r w:rsidR="007B77B9" w:rsidRPr="007755FE">
        <w:rPr>
          <w:rStyle w:val="Refdenotaalpie"/>
          <w:rFonts w:ascii="Times New Roman" w:hAnsi="Times New Roman"/>
          <w:lang w:val="es-CO"/>
        </w:rPr>
        <w:t xml:space="preserve"> </w:t>
      </w:r>
      <w:r w:rsidR="00C4011D">
        <w:rPr>
          <w:rFonts w:ascii="Times New Roman" w:hAnsi="Times New Roman"/>
          <w:lang w:val="en-US"/>
        </w:rPr>
        <w:t>(3)</w:t>
      </w:r>
      <w:r w:rsidR="00A224C0" w:rsidRPr="007755FE">
        <w:rPr>
          <w:rFonts w:ascii="Times New Roman" w:hAnsi="Times New Roman"/>
          <w:lang w:val="es-ES"/>
        </w:rPr>
        <w:t>.</w:t>
      </w:r>
    </w:p>
    <w:p w14:paraId="04FE77EF" w14:textId="639F46A9" w:rsidR="006D7489" w:rsidRPr="007755FE" w:rsidRDefault="00B3729A" w:rsidP="007755FE">
      <w:pPr>
        <w:jc w:val="both"/>
        <w:rPr>
          <w:rFonts w:ascii="Times New Roman" w:hAnsi="Times New Roman"/>
          <w:lang w:val="es-CO"/>
        </w:rPr>
      </w:pPr>
      <w:r w:rsidRPr="007755FE">
        <w:rPr>
          <w:rFonts w:ascii="Times New Roman" w:hAnsi="Times New Roman"/>
          <w:lang w:val="es-CO"/>
        </w:rPr>
        <w:t>La Federación Internacional de Productores de</w:t>
      </w:r>
      <w:r w:rsidR="00C20D7D">
        <w:rPr>
          <w:rFonts w:ascii="Times New Roman" w:hAnsi="Times New Roman"/>
          <w:lang w:val="es-CO"/>
        </w:rPr>
        <w:t xml:space="preserve"> Farmacéuticos y Asociaciones –</w:t>
      </w:r>
      <w:r w:rsidRPr="007755FE">
        <w:rPr>
          <w:rFonts w:ascii="Times New Roman" w:hAnsi="Times New Roman"/>
          <w:lang w:val="es-CO"/>
        </w:rPr>
        <w:t>IFPMA</w:t>
      </w:r>
      <w:r w:rsidR="00C20D7D">
        <w:rPr>
          <w:rFonts w:ascii="Times New Roman" w:hAnsi="Times New Roman"/>
          <w:lang w:val="es-CO"/>
        </w:rPr>
        <w:t>–</w:t>
      </w:r>
      <w:r w:rsidRPr="007755FE">
        <w:rPr>
          <w:rFonts w:ascii="Times New Roman" w:hAnsi="Times New Roman"/>
          <w:lang w:val="es-CO"/>
        </w:rPr>
        <w:t xml:space="preserve">, representando a los productores globales de drogas, expresó preocupación por el gran alcance del decreto. Andrew Jenner, su director de innovación, propiedad </w:t>
      </w:r>
      <w:r w:rsidR="007F241F" w:rsidRPr="007755FE">
        <w:rPr>
          <w:rFonts w:ascii="Times New Roman" w:hAnsi="Times New Roman"/>
          <w:lang w:val="es-CO"/>
        </w:rPr>
        <w:t>intelectual</w:t>
      </w:r>
      <w:r w:rsidRPr="007755FE">
        <w:rPr>
          <w:rFonts w:ascii="Times New Roman" w:hAnsi="Times New Roman"/>
          <w:lang w:val="es-CO"/>
        </w:rPr>
        <w:t xml:space="preserve"> y comercio, dijo que los países en desarrollo tenían derecho de invalidar patentes </w:t>
      </w:r>
      <w:r w:rsidR="007F241F" w:rsidRPr="007755FE">
        <w:rPr>
          <w:rFonts w:ascii="Times New Roman" w:hAnsi="Times New Roman"/>
          <w:lang w:val="es-CO"/>
        </w:rPr>
        <w:t>expidiendo</w:t>
      </w:r>
      <w:r w:rsidRPr="007755FE">
        <w:rPr>
          <w:rFonts w:ascii="Times New Roman" w:hAnsi="Times New Roman"/>
          <w:lang w:val="es-CO"/>
        </w:rPr>
        <w:t xml:space="preserve"> las así llamadas licencias obligatorias en determinadas </w:t>
      </w:r>
      <w:r w:rsidR="007F241F" w:rsidRPr="007755FE">
        <w:rPr>
          <w:rFonts w:ascii="Times New Roman" w:hAnsi="Times New Roman"/>
          <w:lang w:val="es-CO"/>
        </w:rPr>
        <w:t>circunstancias</w:t>
      </w:r>
      <w:r w:rsidRPr="007755FE">
        <w:rPr>
          <w:rFonts w:ascii="Times New Roman" w:hAnsi="Times New Roman"/>
          <w:lang w:val="es-CO"/>
        </w:rPr>
        <w:t>, pero es</w:t>
      </w:r>
      <w:r w:rsidR="00C20D7D">
        <w:rPr>
          <w:rFonts w:ascii="Times New Roman" w:hAnsi="Times New Roman"/>
          <w:lang w:val="es-CO"/>
        </w:rPr>
        <w:t xml:space="preserve">to debe ser un último recurso. </w:t>
      </w:r>
      <w:r w:rsidRPr="007755FE">
        <w:rPr>
          <w:rFonts w:ascii="Times New Roman" w:hAnsi="Times New Roman"/>
          <w:lang w:val="es-CO"/>
        </w:rPr>
        <w:t xml:space="preserve">De acuerdo con Jenner “La expedición sistemática </w:t>
      </w:r>
      <w:r w:rsidR="006411FD" w:rsidRPr="007755FE">
        <w:rPr>
          <w:rFonts w:ascii="Times New Roman" w:hAnsi="Times New Roman"/>
          <w:lang w:val="es-CO"/>
        </w:rPr>
        <w:t xml:space="preserve">de licencias obligatorias por </w:t>
      </w:r>
      <w:r w:rsidR="00B803E4" w:rsidRPr="007755FE">
        <w:rPr>
          <w:rFonts w:ascii="Times New Roman" w:hAnsi="Times New Roman"/>
          <w:lang w:val="es-CO"/>
        </w:rPr>
        <w:t xml:space="preserve">parte de </w:t>
      </w:r>
      <w:r w:rsidR="006411FD" w:rsidRPr="007755FE">
        <w:rPr>
          <w:rFonts w:ascii="Times New Roman" w:hAnsi="Times New Roman"/>
          <w:lang w:val="es-CO"/>
        </w:rPr>
        <w:t xml:space="preserve">Indonesia establece un </w:t>
      </w:r>
      <w:r w:rsidR="00B803E4" w:rsidRPr="007755FE">
        <w:rPr>
          <w:rFonts w:ascii="Times New Roman" w:hAnsi="Times New Roman"/>
          <w:lang w:val="es-CO"/>
        </w:rPr>
        <w:t>precedente</w:t>
      </w:r>
      <w:r w:rsidR="006411FD" w:rsidRPr="007755FE">
        <w:rPr>
          <w:rFonts w:ascii="Times New Roman" w:hAnsi="Times New Roman"/>
          <w:lang w:val="es-CO"/>
        </w:rPr>
        <w:t xml:space="preserve"> negativo y puede reducir la iniciativa de invertir en la investigación y desarrollo de nuevas medicinas, incluyendo VIH/SIDA y terapias de Hepatitis (…) “Creemos que </w:t>
      </w:r>
      <w:r w:rsidR="00B803E4" w:rsidRPr="007755FE">
        <w:rPr>
          <w:rFonts w:ascii="Times New Roman" w:hAnsi="Times New Roman"/>
          <w:lang w:val="es-CO"/>
        </w:rPr>
        <w:t>enfoques de negociación</w:t>
      </w:r>
      <w:r w:rsidR="006411FD" w:rsidRPr="007755FE">
        <w:rPr>
          <w:rFonts w:ascii="Times New Roman" w:hAnsi="Times New Roman"/>
          <w:lang w:val="es-CO"/>
        </w:rPr>
        <w:t>, tales como</w:t>
      </w:r>
      <w:r w:rsidR="00C20D7D">
        <w:rPr>
          <w:rFonts w:ascii="Times New Roman" w:hAnsi="Times New Roman"/>
          <w:lang w:val="es-CO"/>
        </w:rPr>
        <w:t>,</w:t>
      </w:r>
      <w:r w:rsidR="006411FD" w:rsidRPr="007755FE">
        <w:rPr>
          <w:rFonts w:ascii="Times New Roman" w:hAnsi="Times New Roman"/>
          <w:lang w:val="es-CO"/>
        </w:rPr>
        <w:t xml:space="preserve"> precios diferenciados o licenciamiento voluntario, son en general más efectivos y sostenibles, tanto en lo médico como en lo económico”. </w:t>
      </w:r>
      <w:r w:rsidRPr="007755FE">
        <w:rPr>
          <w:rFonts w:ascii="Times New Roman" w:hAnsi="Times New Roman"/>
          <w:lang w:val="es-CO"/>
        </w:rPr>
        <w:t xml:space="preserve">Estos puntos de vista y enfoques de IFPM en usar negociaciones, licencias voluntarias y responsabilidad social corporativa han sido también </w:t>
      </w:r>
      <w:r w:rsidR="00B803E4" w:rsidRPr="007755FE">
        <w:rPr>
          <w:rFonts w:ascii="Times New Roman" w:hAnsi="Times New Roman"/>
          <w:lang w:val="es-CO"/>
        </w:rPr>
        <w:t>apoyados</w:t>
      </w:r>
      <w:r w:rsidRPr="007755FE">
        <w:rPr>
          <w:rFonts w:ascii="Times New Roman" w:hAnsi="Times New Roman"/>
          <w:lang w:val="es-CO"/>
        </w:rPr>
        <w:t xml:space="preserve"> y </w:t>
      </w:r>
      <w:r w:rsidR="00B803E4" w:rsidRPr="007755FE">
        <w:rPr>
          <w:rFonts w:ascii="Times New Roman" w:hAnsi="Times New Roman"/>
          <w:lang w:val="es-CO"/>
        </w:rPr>
        <w:t>promovidos</w:t>
      </w:r>
      <w:r w:rsidRPr="007755FE">
        <w:rPr>
          <w:rFonts w:ascii="Times New Roman" w:hAnsi="Times New Roman"/>
          <w:lang w:val="es-CO"/>
        </w:rPr>
        <w:t xml:space="preserve"> recientemente por la Organiz</w:t>
      </w:r>
      <w:r w:rsidR="00C20D7D">
        <w:rPr>
          <w:rFonts w:ascii="Times New Roman" w:hAnsi="Times New Roman"/>
          <w:lang w:val="es-CO"/>
        </w:rPr>
        <w:t>ación Mundial de la Salud – OMS</w:t>
      </w:r>
      <w:r w:rsidR="00C20D7D">
        <w:rPr>
          <w:rFonts w:ascii="Times New Roman" w:hAnsi="Times New Roman"/>
          <w:lang w:val="en-US"/>
        </w:rPr>
        <w:t xml:space="preserve"> (4)</w:t>
      </w:r>
      <w:r w:rsidR="00F04FBE" w:rsidRPr="007755FE">
        <w:rPr>
          <w:rFonts w:ascii="Times New Roman" w:hAnsi="Times New Roman"/>
          <w:lang w:val="es-CO"/>
        </w:rPr>
        <w:t xml:space="preserve">. </w:t>
      </w:r>
    </w:p>
    <w:p w14:paraId="314BAC0B" w14:textId="0CA08AB4" w:rsidR="006B1F63" w:rsidRPr="007755FE" w:rsidRDefault="00903687" w:rsidP="007755FE">
      <w:pPr>
        <w:jc w:val="both"/>
        <w:rPr>
          <w:rFonts w:ascii="Times New Roman" w:hAnsi="Times New Roman"/>
          <w:lang w:val="es-CO"/>
        </w:rPr>
      </w:pPr>
      <w:r w:rsidRPr="007755FE">
        <w:rPr>
          <w:rFonts w:ascii="Times New Roman" w:hAnsi="Times New Roman"/>
          <w:lang w:val="es-CO"/>
        </w:rPr>
        <w:t>De acuerdo con MSF</w:t>
      </w:r>
      <w:r w:rsidR="00C20D7D">
        <w:rPr>
          <w:rFonts w:ascii="Times New Roman" w:hAnsi="Times New Roman"/>
          <w:lang w:val="en-US"/>
        </w:rPr>
        <w:t xml:space="preserve"> (5)</w:t>
      </w:r>
      <w:r w:rsidR="00B3729A" w:rsidRPr="007755FE">
        <w:rPr>
          <w:rFonts w:ascii="Times New Roman" w:hAnsi="Times New Roman"/>
          <w:lang w:val="es-CO"/>
        </w:rPr>
        <w:t xml:space="preserve">, el decreto presidencial, si se implementa completamente, </w:t>
      </w:r>
      <w:r w:rsidRPr="007755FE">
        <w:rPr>
          <w:rFonts w:ascii="Times New Roman" w:hAnsi="Times New Roman"/>
          <w:lang w:val="es-CO"/>
        </w:rPr>
        <w:t xml:space="preserve">permitirá la producción local de medicamentos genéricos (lo cual traerá competencia, y puede reducir significativamente los precios) mientras que a cada una de las compañías innovadoras se les pagará </w:t>
      </w:r>
      <w:r w:rsidR="00C20D7D">
        <w:rPr>
          <w:rFonts w:ascii="Times New Roman" w:hAnsi="Times New Roman"/>
          <w:lang w:val="es-CO"/>
        </w:rPr>
        <w:t xml:space="preserve">la </w:t>
      </w:r>
      <w:r w:rsidRPr="007755FE">
        <w:rPr>
          <w:rFonts w:ascii="Times New Roman" w:hAnsi="Times New Roman"/>
          <w:lang w:val="es-CO"/>
        </w:rPr>
        <w:t>mitad de porcentaje de regalías.</w:t>
      </w:r>
      <w:r w:rsidR="007F3487" w:rsidRPr="007755FE">
        <w:rPr>
          <w:rFonts w:ascii="Times New Roman" w:hAnsi="Times New Roman"/>
          <w:lang w:val="es-CO"/>
        </w:rPr>
        <w:t xml:space="preserve"> Hay 310,000 personas</w:t>
      </w:r>
      <w:r w:rsidR="00C20D7D">
        <w:rPr>
          <w:rFonts w:ascii="Times New Roman" w:hAnsi="Times New Roman"/>
          <w:lang w:val="es-CO"/>
        </w:rPr>
        <w:t xml:space="preserve"> viviendo con VIH en Indonesia.</w:t>
      </w:r>
    </w:p>
    <w:p w14:paraId="3F13FFE2" w14:textId="6BB770D9" w:rsidR="00DD5103" w:rsidRPr="007755FE" w:rsidRDefault="002A09AC" w:rsidP="007755FE">
      <w:pPr>
        <w:jc w:val="both"/>
        <w:rPr>
          <w:rFonts w:ascii="Times New Roman" w:hAnsi="Times New Roman"/>
          <w:lang w:val="es-CO"/>
        </w:rPr>
      </w:pPr>
      <w:r w:rsidRPr="007755FE">
        <w:rPr>
          <w:rFonts w:ascii="Times New Roman" w:hAnsi="Times New Roman"/>
          <w:lang w:val="es-CO"/>
        </w:rPr>
        <w:t xml:space="preserve">Como dijo Brook Baker “Es una victoria tremenda para la gente que vive con VIH en Indonesia que se haya expedido nuevas licencias obligatorias en siete medicinas antirretrovirales, permitiendo al gobierno acceder a versiones genéricas de esas medicinas </w:t>
      </w:r>
      <w:r w:rsidR="001826A6" w:rsidRPr="007755FE">
        <w:rPr>
          <w:rFonts w:ascii="Times New Roman" w:hAnsi="Times New Roman"/>
          <w:lang w:val="es-CO"/>
        </w:rPr>
        <w:t>(</w:t>
      </w:r>
      <w:r w:rsidRPr="007755FE">
        <w:rPr>
          <w:rFonts w:ascii="Times New Roman" w:hAnsi="Times New Roman"/>
          <w:lang w:val="es-CO"/>
        </w:rPr>
        <w:t>nacional o por importación</w:t>
      </w:r>
      <w:r w:rsidR="001826A6" w:rsidRPr="007755FE">
        <w:rPr>
          <w:rFonts w:ascii="Times New Roman" w:hAnsi="Times New Roman"/>
          <w:lang w:val="es-CO"/>
        </w:rPr>
        <w:t>)</w:t>
      </w:r>
      <w:r w:rsidRPr="007755FE">
        <w:rPr>
          <w:rFonts w:ascii="Times New Roman" w:hAnsi="Times New Roman"/>
          <w:lang w:val="es-CO"/>
        </w:rPr>
        <w:t xml:space="preserve"> a un precio mucho más barato. Indonesia encabeza ahora la lista de países que se han </w:t>
      </w:r>
      <w:r w:rsidR="001826A6" w:rsidRPr="007755FE">
        <w:rPr>
          <w:rFonts w:ascii="Times New Roman" w:hAnsi="Times New Roman"/>
          <w:lang w:val="es-CO"/>
        </w:rPr>
        <w:t>revelado</w:t>
      </w:r>
      <w:r w:rsidRPr="007755FE">
        <w:rPr>
          <w:rFonts w:ascii="Times New Roman" w:hAnsi="Times New Roman"/>
          <w:lang w:val="es-CO"/>
        </w:rPr>
        <w:t xml:space="preserve"> al poder de las grandes compañías farmacéuticas</w:t>
      </w:r>
      <w:r w:rsidR="00C20D7D">
        <w:rPr>
          <w:rFonts w:ascii="Times New Roman" w:hAnsi="Times New Roman"/>
          <w:lang w:val="es-CO"/>
        </w:rPr>
        <w:t>, y</w:t>
      </w:r>
      <w:r w:rsidRPr="007755FE">
        <w:rPr>
          <w:rFonts w:ascii="Times New Roman" w:hAnsi="Times New Roman"/>
          <w:lang w:val="es-CO"/>
        </w:rPr>
        <w:t xml:space="preserve"> a la presión diplomática y del comercio </w:t>
      </w:r>
      <w:r w:rsidR="00C97FEF" w:rsidRPr="007755FE">
        <w:rPr>
          <w:rFonts w:ascii="Times New Roman" w:hAnsi="Times New Roman"/>
          <w:lang w:val="es-CO"/>
        </w:rPr>
        <w:t>ejercida por poderes de EU y UE que consistentemente avanzan el monopolio de los derechos de PI de las multinacionales farmacéuticas”</w:t>
      </w:r>
      <w:r w:rsidR="00C20D7D">
        <w:rPr>
          <w:rFonts w:ascii="Times New Roman" w:hAnsi="Times New Roman"/>
          <w:lang w:val="en-US"/>
        </w:rPr>
        <w:t>(6)</w:t>
      </w:r>
      <w:r w:rsidR="00A224C0" w:rsidRPr="007755FE">
        <w:rPr>
          <w:rFonts w:ascii="Times New Roman" w:hAnsi="Times New Roman"/>
          <w:lang w:val="es-CO"/>
        </w:rPr>
        <w:t>.</w:t>
      </w:r>
    </w:p>
    <w:p w14:paraId="7D4C4B6D" w14:textId="77712E5D" w:rsidR="009564E4" w:rsidRPr="007755FE" w:rsidRDefault="002A7DEC" w:rsidP="007755FE">
      <w:pPr>
        <w:jc w:val="both"/>
        <w:rPr>
          <w:rFonts w:ascii="Times New Roman" w:hAnsi="Times New Roman"/>
          <w:lang w:val="es-CO"/>
        </w:rPr>
      </w:pPr>
      <w:r w:rsidRPr="007755FE">
        <w:rPr>
          <w:rFonts w:ascii="Times New Roman" w:hAnsi="Times New Roman"/>
          <w:lang w:val="es-CO"/>
        </w:rPr>
        <w:t xml:space="preserve">El decreto presidencial de Indonesia es un esfuerzo de </w:t>
      </w:r>
      <w:r w:rsidR="00D94E18" w:rsidRPr="007755FE">
        <w:rPr>
          <w:rFonts w:ascii="Times New Roman" w:hAnsi="Times New Roman"/>
          <w:lang w:val="es-CO"/>
        </w:rPr>
        <w:t>expandir</w:t>
      </w:r>
      <w:r w:rsidRPr="007755FE">
        <w:rPr>
          <w:rFonts w:ascii="Times New Roman" w:hAnsi="Times New Roman"/>
          <w:lang w:val="es-CO"/>
        </w:rPr>
        <w:t xml:space="preserve"> el acceso a nuevos y más apropiados tratamientos antirretrovirales, y como </w:t>
      </w:r>
      <w:r w:rsidR="00C20D7D">
        <w:rPr>
          <w:rFonts w:ascii="Times New Roman" w:hAnsi="Times New Roman"/>
          <w:lang w:val="es-CO"/>
        </w:rPr>
        <w:t xml:space="preserve">fue </w:t>
      </w:r>
      <w:r w:rsidR="00D94E18" w:rsidRPr="007755FE">
        <w:rPr>
          <w:rFonts w:ascii="Times New Roman" w:hAnsi="Times New Roman"/>
          <w:lang w:val="es-CO"/>
        </w:rPr>
        <w:t>dicho</w:t>
      </w:r>
      <w:r w:rsidRPr="007755FE">
        <w:rPr>
          <w:rFonts w:ascii="Times New Roman" w:hAnsi="Times New Roman"/>
          <w:lang w:val="es-CO"/>
        </w:rPr>
        <w:t xml:space="preserve"> por la Organización Pública del Ciudadano, “La </w:t>
      </w:r>
      <w:r w:rsidRPr="007755FE">
        <w:rPr>
          <w:rFonts w:ascii="Times New Roman" w:hAnsi="Times New Roman"/>
          <w:lang w:val="es-CO"/>
        </w:rPr>
        <w:lastRenderedPageBreak/>
        <w:t>acción de Indonesia establece un poderoso ejemplo para otros países, así como un crí</w:t>
      </w:r>
      <w:r w:rsidR="000E6695" w:rsidRPr="007755FE">
        <w:rPr>
          <w:rFonts w:ascii="Times New Roman" w:hAnsi="Times New Roman"/>
          <w:lang w:val="es-CO"/>
        </w:rPr>
        <w:t>tico precedente para la salud pública global”.</w:t>
      </w:r>
    </w:p>
    <w:p w14:paraId="72F69BFE" w14:textId="77777777" w:rsidR="00DD5103" w:rsidRPr="007755FE" w:rsidRDefault="00DD5103" w:rsidP="007755FE">
      <w:pPr>
        <w:jc w:val="both"/>
        <w:rPr>
          <w:rFonts w:ascii="Times New Roman" w:hAnsi="Times New Roman"/>
          <w:lang w:val="es-CO"/>
        </w:rPr>
      </w:pPr>
    </w:p>
    <w:p w14:paraId="5205CBA5" w14:textId="77777777" w:rsidR="007A3451" w:rsidRPr="0049552C" w:rsidRDefault="007A3451" w:rsidP="007A3451">
      <w:pPr>
        <w:jc w:val="right"/>
        <w:rPr>
          <w:rFonts w:ascii="Times New Roman" w:hAnsi="Times New Roman"/>
          <w:b/>
          <w:sz w:val="24"/>
          <w:szCs w:val="24"/>
          <w:lang w:val="en-US"/>
        </w:rPr>
      </w:pPr>
      <w:proofErr w:type="spellStart"/>
      <w:r w:rsidRPr="0049552C">
        <w:rPr>
          <w:rFonts w:ascii="Times New Roman" w:hAnsi="Times New Roman"/>
          <w:b/>
          <w:sz w:val="24"/>
          <w:szCs w:val="24"/>
          <w:lang w:val="en-US"/>
        </w:rPr>
        <w:t>Germán</w:t>
      </w:r>
      <w:proofErr w:type="spellEnd"/>
      <w:r w:rsidRPr="0049552C">
        <w:rPr>
          <w:rFonts w:ascii="Times New Roman" w:hAnsi="Times New Roman"/>
          <w:b/>
          <w:sz w:val="24"/>
          <w:szCs w:val="24"/>
          <w:lang w:val="en-US"/>
        </w:rPr>
        <w:t xml:space="preserve"> </w:t>
      </w:r>
      <w:proofErr w:type="spellStart"/>
      <w:r w:rsidRPr="0049552C">
        <w:rPr>
          <w:rFonts w:ascii="Times New Roman" w:hAnsi="Times New Roman"/>
          <w:b/>
          <w:sz w:val="24"/>
          <w:szCs w:val="24"/>
          <w:lang w:val="en-US"/>
        </w:rPr>
        <w:t>Velásquez</w:t>
      </w:r>
      <w:proofErr w:type="spellEnd"/>
    </w:p>
    <w:p w14:paraId="436266A3" w14:textId="77777777" w:rsidR="007A3451" w:rsidRPr="0049552C" w:rsidRDefault="007A3451" w:rsidP="007A3451">
      <w:pPr>
        <w:jc w:val="right"/>
        <w:rPr>
          <w:rFonts w:ascii="Times New Roman" w:hAnsi="Times New Roman"/>
          <w:sz w:val="24"/>
          <w:szCs w:val="24"/>
          <w:lang w:val="en-US"/>
        </w:rPr>
      </w:pPr>
      <w:r w:rsidRPr="0049552C">
        <w:rPr>
          <w:rFonts w:ascii="Times New Roman" w:hAnsi="Times New Roman"/>
          <w:sz w:val="24"/>
          <w:szCs w:val="24"/>
          <w:lang w:val="en-US"/>
        </w:rPr>
        <w:t>Special Adviser for Health and Development at the South Centre, Geneva</w:t>
      </w:r>
    </w:p>
    <w:p w14:paraId="3108520F" w14:textId="7C9C1F3C" w:rsidR="007A3451" w:rsidRPr="0049552C" w:rsidRDefault="007A3451" w:rsidP="007A3451">
      <w:pPr>
        <w:jc w:val="right"/>
        <w:rPr>
          <w:rFonts w:ascii="Times New Roman" w:hAnsi="Times New Roman"/>
          <w:sz w:val="24"/>
          <w:szCs w:val="24"/>
          <w:lang w:val="en-US"/>
        </w:rPr>
      </w:pPr>
      <w:r>
        <w:rPr>
          <w:rFonts w:ascii="Times New Roman" w:hAnsi="Times New Roman"/>
          <w:sz w:val="24"/>
          <w:szCs w:val="24"/>
          <w:lang w:val="en-US"/>
        </w:rPr>
        <w:t>Diciembre</w:t>
      </w:r>
      <w:r w:rsidRPr="0049552C">
        <w:rPr>
          <w:rFonts w:ascii="Times New Roman" w:hAnsi="Times New Roman"/>
          <w:sz w:val="24"/>
          <w:szCs w:val="24"/>
          <w:lang w:val="en-US"/>
        </w:rPr>
        <w:t xml:space="preserve"> 2012</w:t>
      </w:r>
    </w:p>
    <w:p w14:paraId="05A85049" w14:textId="77777777" w:rsidR="00DD5103" w:rsidRPr="007755FE" w:rsidRDefault="00DD5103" w:rsidP="007A3451">
      <w:pPr>
        <w:jc w:val="both"/>
        <w:rPr>
          <w:rFonts w:ascii="Times New Roman" w:hAnsi="Times New Roman"/>
          <w:lang w:val="es-CO"/>
        </w:rPr>
      </w:pPr>
    </w:p>
    <w:sectPr w:rsidR="00DD5103" w:rsidRPr="007755FE" w:rsidSect="009F10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25846" w14:textId="77777777" w:rsidR="00C20D7D" w:rsidRDefault="00C20D7D" w:rsidP="006B1F63">
      <w:pPr>
        <w:spacing w:after="0" w:line="240" w:lineRule="auto"/>
      </w:pPr>
      <w:r>
        <w:separator/>
      </w:r>
    </w:p>
  </w:endnote>
  <w:endnote w:type="continuationSeparator" w:id="0">
    <w:p w14:paraId="2D5BB54A" w14:textId="77777777" w:rsidR="00C20D7D" w:rsidRDefault="00C20D7D" w:rsidP="006B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CA8E8" w14:textId="77777777" w:rsidR="00C20D7D" w:rsidRDefault="00C20D7D" w:rsidP="006B1F63">
      <w:pPr>
        <w:spacing w:after="0" w:line="240" w:lineRule="auto"/>
      </w:pPr>
      <w:r>
        <w:separator/>
      </w:r>
    </w:p>
  </w:footnote>
  <w:footnote w:type="continuationSeparator" w:id="0">
    <w:p w14:paraId="2FCCEB46" w14:textId="77777777" w:rsidR="00C20D7D" w:rsidRDefault="00C20D7D" w:rsidP="006B1F63">
      <w:pPr>
        <w:spacing w:after="0" w:line="240" w:lineRule="auto"/>
      </w:pPr>
      <w:r>
        <w:continuationSeparator/>
      </w:r>
    </w:p>
  </w:footnote>
  <w:footnote w:id="1">
    <w:p w14:paraId="28FD538F" w14:textId="274FA7BF" w:rsidR="008205AB" w:rsidRPr="008205AB" w:rsidRDefault="008205AB">
      <w:pPr>
        <w:pStyle w:val="Textonotapie"/>
        <w:rPr>
          <w:rFonts w:ascii="Times New Roman" w:hAnsi="Times New Roman" w:cs="Times New Roman"/>
        </w:rPr>
      </w:pPr>
      <w:r w:rsidRPr="008205AB">
        <w:rPr>
          <w:rStyle w:val="Refdenotaalpie"/>
          <w:rFonts w:ascii="Times New Roman" w:hAnsi="Times New Roman" w:cs="Times New Roman"/>
        </w:rPr>
        <w:footnoteRef/>
      </w:r>
      <w:r w:rsidRPr="008205AB">
        <w:rPr>
          <w:rFonts w:ascii="Times New Roman" w:hAnsi="Times New Roman" w:cs="Times New Roman"/>
        </w:rPr>
        <w:t xml:space="preserve"> Traducción: Juan Ignacio del Río Blandón.</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10"/>
    <w:rsid w:val="000451F6"/>
    <w:rsid w:val="00052050"/>
    <w:rsid w:val="000705B3"/>
    <w:rsid w:val="00085EE1"/>
    <w:rsid w:val="000C0B1C"/>
    <w:rsid w:val="000E20AC"/>
    <w:rsid w:val="000E6695"/>
    <w:rsid w:val="001200D3"/>
    <w:rsid w:val="00121B4D"/>
    <w:rsid w:val="0017035C"/>
    <w:rsid w:val="001826A6"/>
    <w:rsid w:val="00190775"/>
    <w:rsid w:val="00195FE9"/>
    <w:rsid w:val="001F774C"/>
    <w:rsid w:val="00224884"/>
    <w:rsid w:val="002564AE"/>
    <w:rsid w:val="002916BE"/>
    <w:rsid w:val="002A09AC"/>
    <w:rsid w:val="002A7DEC"/>
    <w:rsid w:val="002E1933"/>
    <w:rsid w:val="002E7D40"/>
    <w:rsid w:val="002F3A6A"/>
    <w:rsid w:val="00303AD4"/>
    <w:rsid w:val="00325B9F"/>
    <w:rsid w:val="003840A5"/>
    <w:rsid w:val="00384C89"/>
    <w:rsid w:val="00386E2F"/>
    <w:rsid w:val="003C0309"/>
    <w:rsid w:val="003C6AE7"/>
    <w:rsid w:val="003C7B75"/>
    <w:rsid w:val="003E4945"/>
    <w:rsid w:val="004C1834"/>
    <w:rsid w:val="004C2460"/>
    <w:rsid w:val="004C2D16"/>
    <w:rsid w:val="004C586F"/>
    <w:rsid w:val="00504AFC"/>
    <w:rsid w:val="00561D3D"/>
    <w:rsid w:val="00566AB3"/>
    <w:rsid w:val="005757FB"/>
    <w:rsid w:val="005905A9"/>
    <w:rsid w:val="0059209C"/>
    <w:rsid w:val="00597C88"/>
    <w:rsid w:val="005E4E69"/>
    <w:rsid w:val="005F09B7"/>
    <w:rsid w:val="006042F3"/>
    <w:rsid w:val="006112B2"/>
    <w:rsid w:val="00636B0B"/>
    <w:rsid w:val="006411FD"/>
    <w:rsid w:val="006B1F63"/>
    <w:rsid w:val="006C093B"/>
    <w:rsid w:val="006D7489"/>
    <w:rsid w:val="00732B63"/>
    <w:rsid w:val="0074686C"/>
    <w:rsid w:val="007505D0"/>
    <w:rsid w:val="00750807"/>
    <w:rsid w:val="007755FE"/>
    <w:rsid w:val="00777E5D"/>
    <w:rsid w:val="00786D7E"/>
    <w:rsid w:val="0079319C"/>
    <w:rsid w:val="007A3451"/>
    <w:rsid w:val="007B77B9"/>
    <w:rsid w:val="007C3236"/>
    <w:rsid w:val="007D4F81"/>
    <w:rsid w:val="007F241F"/>
    <w:rsid w:val="007F3487"/>
    <w:rsid w:val="00817BE9"/>
    <w:rsid w:val="008205AB"/>
    <w:rsid w:val="008216A5"/>
    <w:rsid w:val="00896D52"/>
    <w:rsid w:val="008A4D99"/>
    <w:rsid w:val="008C7A8C"/>
    <w:rsid w:val="008E5A90"/>
    <w:rsid w:val="008F27ED"/>
    <w:rsid w:val="00903687"/>
    <w:rsid w:val="00922D2C"/>
    <w:rsid w:val="009238EC"/>
    <w:rsid w:val="009564E4"/>
    <w:rsid w:val="00960E51"/>
    <w:rsid w:val="009A19BA"/>
    <w:rsid w:val="009C0710"/>
    <w:rsid w:val="009F1058"/>
    <w:rsid w:val="00A0531E"/>
    <w:rsid w:val="00A224C0"/>
    <w:rsid w:val="00A46F15"/>
    <w:rsid w:val="00A50B03"/>
    <w:rsid w:val="00A7698E"/>
    <w:rsid w:val="00A921E9"/>
    <w:rsid w:val="00B10B5C"/>
    <w:rsid w:val="00B3729A"/>
    <w:rsid w:val="00B7178F"/>
    <w:rsid w:val="00B723FD"/>
    <w:rsid w:val="00B803E4"/>
    <w:rsid w:val="00B8194D"/>
    <w:rsid w:val="00BA45F1"/>
    <w:rsid w:val="00BC0409"/>
    <w:rsid w:val="00BE5970"/>
    <w:rsid w:val="00C20D7D"/>
    <w:rsid w:val="00C4011D"/>
    <w:rsid w:val="00C97FEF"/>
    <w:rsid w:val="00CE5EE7"/>
    <w:rsid w:val="00D2661A"/>
    <w:rsid w:val="00D521AD"/>
    <w:rsid w:val="00D92A26"/>
    <w:rsid w:val="00D93ACA"/>
    <w:rsid w:val="00D94E18"/>
    <w:rsid w:val="00DD5103"/>
    <w:rsid w:val="00E32A5A"/>
    <w:rsid w:val="00E5278F"/>
    <w:rsid w:val="00EB71CE"/>
    <w:rsid w:val="00EE1E51"/>
    <w:rsid w:val="00EE47A1"/>
    <w:rsid w:val="00EF5089"/>
    <w:rsid w:val="00F01072"/>
    <w:rsid w:val="00F04FBE"/>
    <w:rsid w:val="00F1103C"/>
    <w:rsid w:val="00F1611B"/>
    <w:rsid w:val="00F41A7E"/>
    <w:rsid w:val="00F4262C"/>
    <w:rsid w:val="00FB7BA6"/>
    <w:rsid w:val="00FC6F03"/>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F1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B1F63"/>
    <w:pPr>
      <w:spacing w:after="0" w:line="240" w:lineRule="auto"/>
    </w:pPr>
    <w:rPr>
      <w:sz w:val="20"/>
      <w:szCs w:val="20"/>
    </w:rPr>
  </w:style>
  <w:style w:type="character" w:customStyle="1" w:styleId="TextonotapieCar">
    <w:name w:val="Texto nota pie Car"/>
    <w:basedOn w:val="Fuentedeprrafopredeter"/>
    <w:link w:val="Textonotapie"/>
    <w:uiPriority w:val="99"/>
    <w:rsid w:val="006B1F63"/>
    <w:rPr>
      <w:sz w:val="20"/>
      <w:szCs w:val="20"/>
    </w:rPr>
  </w:style>
  <w:style w:type="character" w:styleId="Refdenotaalpie">
    <w:name w:val="footnote reference"/>
    <w:basedOn w:val="Fuentedeprrafopredeter"/>
    <w:uiPriority w:val="99"/>
    <w:unhideWhenUsed/>
    <w:rsid w:val="006B1F63"/>
    <w:rPr>
      <w:vertAlign w:val="superscript"/>
    </w:rPr>
  </w:style>
  <w:style w:type="character" w:styleId="Hipervnculo">
    <w:name w:val="Hyperlink"/>
    <w:basedOn w:val="Fuentedeprrafopredeter"/>
    <w:uiPriority w:val="99"/>
    <w:unhideWhenUsed/>
    <w:rsid w:val="0074686C"/>
    <w:rPr>
      <w:color w:val="0000FF" w:themeColor="hyperlink"/>
      <w:u w:val="single"/>
    </w:rPr>
  </w:style>
  <w:style w:type="paragraph" w:styleId="Textodeglobo">
    <w:name w:val="Balloon Text"/>
    <w:basedOn w:val="Normal"/>
    <w:link w:val="TextodegloboCar"/>
    <w:uiPriority w:val="99"/>
    <w:semiHidden/>
    <w:unhideWhenUsed/>
    <w:rsid w:val="006042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2F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B1F63"/>
    <w:pPr>
      <w:spacing w:after="0" w:line="240" w:lineRule="auto"/>
    </w:pPr>
    <w:rPr>
      <w:sz w:val="20"/>
      <w:szCs w:val="20"/>
    </w:rPr>
  </w:style>
  <w:style w:type="character" w:customStyle="1" w:styleId="TextonotapieCar">
    <w:name w:val="Texto nota pie Car"/>
    <w:basedOn w:val="Fuentedeprrafopredeter"/>
    <w:link w:val="Textonotapie"/>
    <w:uiPriority w:val="99"/>
    <w:rsid w:val="006B1F63"/>
    <w:rPr>
      <w:sz w:val="20"/>
      <w:szCs w:val="20"/>
    </w:rPr>
  </w:style>
  <w:style w:type="character" w:styleId="Refdenotaalpie">
    <w:name w:val="footnote reference"/>
    <w:basedOn w:val="Fuentedeprrafopredeter"/>
    <w:uiPriority w:val="99"/>
    <w:unhideWhenUsed/>
    <w:rsid w:val="006B1F63"/>
    <w:rPr>
      <w:vertAlign w:val="superscript"/>
    </w:rPr>
  </w:style>
  <w:style w:type="character" w:styleId="Hipervnculo">
    <w:name w:val="Hyperlink"/>
    <w:basedOn w:val="Fuentedeprrafopredeter"/>
    <w:uiPriority w:val="99"/>
    <w:unhideWhenUsed/>
    <w:rsid w:val="0074686C"/>
    <w:rPr>
      <w:color w:val="0000FF" w:themeColor="hyperlink"/>
      <w:u w:val="single"/>
    </w:rPr>
  </w:style>
  <w:style w:type="paragraph" w:styleId="Textodeglobo">
    <w:name w:val="Balloon Text"/>
    <w:basedOn w:val="Normal"/>
    <w:link w:val="TextodegloboCar"/>
    <w:uiPriority w:val="99"/>
    <w:semiHidden/>
    <w:unhideWhenUsed/>
    <w:rsid w:val="006042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42633">
      <w:bodyDiv w:val="1"/>
      <w:marLeft w:val="0"/>
      <w:marRight w:val="0"/>
      <w:marTop w:val="0"/>
      <w:marBottom w:val="0"/>
      <w:divBdr>
        <w:top w:val="none" w:sz="0" w:space="0" w:color="auto"/>
        <w:left w:val="none" w:sz="0" w:space="0" w:color="auto"/>
        <w:bottom w:val="none" w:sz="0" w:space="0" w:color="auto"/>
        <w:right w:val="none" w:sz="0" w:space="0" w:color="auto"/>
      </w:divBdr>
      <w:divsChild>
        <w:div w:id="503470017">
          <w:marLeft w:val="0"/>
          <w:marRight w:val="0"/>
          <w:marTop w:val="0"/>
          <w:marBottom w:val="0"/>
          <w:divBdr>
            <w:top w:val="none" w:sz="0" w:space="0" w:color="auto"/>
            <w:left w:val="none" w:sz="0" w:space="0" w:color="auto"/>
            <w:bottom w:val="none" w:sz="0" w:space="0" w:color="auto"/>
            <w:right w:val="none" w:sz="0" w:space="0" w:color="auto"/>
          </w:divBdr>
          <w:divsChild>
            <w:div w:id="628971660">
              <w:marLeft w:val="0"/>
              <w:marRight w:val="0"/>
              <w:marTop w:val="0"/>
              <w:marBottom w:val="0"/>
              <w:divBdr>
                <w:top w:val="none" w:sz="0" w:space="0" w:color="auto"/>
                <w:left w:val="none" w:sz="0" w:space="0" w:color="auto"/>
                <w:bottom w:val="none" w:sz="0" w:space="0" w:color="auto"/>
                <w:right w:val="none" w:sz="0" w:space="0" w:color="auto"/>
              </w:divBdr>
              <w:divsChild>
                <w:div w:id="1988629076">
                  <w:marLeft w:val="0"/>
                  <w:marRight w:val="0"/>
                  <w:marTop w:val="0"/>
                  <w:marBottom w:val="0"/>
                  <w:divBdr>
                    <w:top w:val="none" w:sz="0" w:space="0" w:color="auto"/>
                    <w:left w:val="none" w:sz="0" w:space="0" w:color="auto"/>
                    <w:bottom w:val="none" w:sz="0" w:space="0" w:color="auto"/>
                    <w:right w:val="none" w:sz="0" w:space="0" w:color="auto"/>
                  </w:divBdr>
                  <w:divsChild>
                    <w:div w:id="724525533">
                      <w:marLeft w:val="0"/>
                      <w:marRight w:val="0"/>
                      <w:marTop w:val="0"/>
                      <w:marBottom w:val="0"/>
                      <w:divBdr>
                        <w:top w:val="none" w:sz="0" w:space="0" w:color="auto"/>
                        <w:left w:val="none" w:sz="0" w:space="0" w:color="auto"/>
                        <w:bottom w:val="none" w:sz="0" w:space="0" w:color="auto"/>
                        <w:right w:val="none" w:sz="0" w:space="0" w:color="auto"/>
                      </w:divBdr>
                      <w:divsChild>
                        <w:div w:id="1681271949">
                          <w:marLeft w:val="0"/>
                          <w:marRight w:val="0"/>
                          <w:marTop w:val="0"/>
                          <w:marBottom w:val="0"/>
                          <w:divBdr>
                            <w:top w:val="none" w:sz="0" w:space="0" w:color="auto"/>
                            <w:left w:val="none" w:sz="0" w:space="0" w:color="auto"/>
                            <w:bottom w:val="none" w:sz="0" w:space="0" w:color="auto"/>
                            <w:right w:val="none" w:sz="0" w:space="0" w:color="auto"/>
                          </w:divBdr>
                          <w:divsChild>
                            <w:div w:id="1451438940">
                              <w:marLeft w:val="0"/>
                              <w:marRight w:val="0"/>
                              <w:marTop w:val="0"/>
                              <w:marBottom w:val="0"/>
                              <w:divBdr>
                                <w:top w:val="none" w:sz="0" w:space="0" w:color="auto"/>
                                <w:left w:val="none" w:sz="0" w:space="0" w:color="auto"/>
                                <w:bottom w:val="none" w:sz="0" w:space="0" w:color="auto"/>
                                <w:right w:val="none" w:sz="0" w:space="0" w:color="auto"/>
                              </w:divBdr>
                              <w:divsChild>
                                <w:div w:id="14853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577048">
      <w:bodyDiv w:val="1"/>
      <w:marLeft w:val="0"/>
      <w:marRight w:val="0"/>
      <w:marTop w:val="0"/>
      <w:marBottom w:val="0"/>
      <w:divBdr>
        <w:top w:val="none" w:sz="0" w:space="0" w:color="auto"/>
        <w:left w:val="none" w:sz="0" w:space="0" w:color="auto"/>
        <w:bottom w:val="none" w:sz="0" w:space="0" w:color="auto"/>
        <w:right w:val="none" w:sz="0" w:space="0" w:color="auto"/>
      </w:divBdr>
      <w:divsChild>
        <w:div w:id="448865118">
          <w:marLeft w:val="0"/>
          <w:marRight w:val="0"/>
          <w:marTop w:val="0"/>
          <w:marBottom w:val="750"/>
          <w:divBdr>
            <w:top w:val="none" w:sz="0" w:space="0" w:color="auto"/>
            <w:left w:val="none" w:sz="0" w:space="0" w:color="auto"/>
            <w:bottom w:val="none" w:sz="0" w:space="0" w:color="auto"/>
            <w:right w:val="none" w:sz="0" w:space="0" w:color="auto"/>
          </w:divBdr>
          <w:divsChild>
            <w:div w:id="2013869948">
              <w:marLeft w:val="0"/>
              <w:marRight w:val="0"/>
              <w:marTop w:val="0"/>
              <w:marBottom w:val="0"/>
              <w:divBdr>
                <w:top w:val="none" w:sz="0" w:space="0" w:color="auto"/>
                <w:left w:val="none" w:sz="0" w:space="0" w:color="auto"/>
                <w:bottom w:val="none" w:sz="0" w:space="0" w:color="auto"/>
                <w:right w:val="none" w:sz="0" w:space="0" w:color="auto"/>
              </w:divBdr>
              <w:divsChild>
                <w:div w:id="395014285">
                  <w:marLeft w:val="0"/>
                  <w:marRight w:val="0"/>
                  <w:marTop w:val="0"/>
                  <w:marBottom w:val="0"/>
                  <w:divBdr>
                    <w:top w:val="none" w:sz="0" w:space="0" w:color="auto"/>
                    <w:left w:val="single" w:sz="6" w:space="0" w:color="FFFFFF"/>
                    <w:bottom w:val="none" w:sz="0" w:space="0" w:color="auto"/>
                    <w:right w:val="none" w:sz="0" w:space="0" w:color="auto"/>
                  </w:divBdr>
                  <w:divsChild>
                    <w:div w:id="909576090">
                      <w:marLeft w:val="0"/>
                      <w:marRight w:val="0"/>
                      <w:marTop w:val="0"/>
                      <w:marBottom w:val="0"/>
                      <w:divBdr>
                        <w:top w:val="none" w:sz="0" w:space="0" w:color="auto"/>
                        <w:left w:val="single" w:sz="6" w:space="11" w:color="EBEBEB"/>
                        <w:bottom w:val="none" w:sz="0" w:space="0" w:color="auto"/>
                        <w:right w:val="none" w:sz="0" w:space="0" w:color="auto"/>
                      </w:divBdr>
                      <w:divsChild>
                        <w:div w:id="1710452839">
                          <w:marLeft w:val="0"/>
                          <w:marRight w:val="0"/>
                          <w:marTop w:val="0"/>
                          <w:marBottom w:val="0"/>
                          <w:divBdr>
                            <w:top w:val="none" w:sz="0" w:space="0" w:color="auto"/>
                            <w:left w:val="none" w:sz="0" w:space="0" w:color="auto"/>
                            <w:bottom w:val="none" w:sz="0" w:space="0" w:color="auto"/>
                            <w:right w:val="none" w:sz="0" w:space="0" w:color="auto"/>
                          </w:divBdr>
                          <w:divsChild>
                            <w:div w:id="4370625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47816-9998-3B4E-A567-F6EE01A4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1061</Words>
  <Characters>5841</Characters>
  <Application>Microsoft Macintosh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Velasquez</dc:creator>
  <cp:lastModifiedBy>Alejandra del Río</cp:lastModifiedBy>
  <cp:revision>6</cp:revision>
  <dcterms:created xsi:type="dcterms:W3CDTF">2013-01-15T00:59:00Z</dcterms:created>
  <dcterms:modified xsi:type="dcterms:W3CDTF">2013-01-15T22:56:00Z</dcterms:modified>
</cp:coreProperties>
</file>