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BD9" w:rsidRPr="00D64C6C" w:rsidRDefault="001F7BD9" w:rsidP="008A0A33">
      <w:pPr>
        <w:rPr>
          <w:rFonts w:ascii="Arial" w:hAnsi="Arial" w:cs="Arial"/>
        </w:rPr>
      </w:pPr>
    </w:p>
    <w:p w:rsidR="0073146D" w:rsidRPr="00D64C6C" w:rsidRDefault="003347DA" w:rsidP="0073146D">
      <w:pPr>
        <w:pStyle w:val="CuerpoA"/>
        <w:spacing w:after="0" w:line="480" w:lineRule="auto"/>
        <w:rPr>
          <w:rStyle w:val="Ninguno"/>
          <w:rFonts w:ascii="Arial" w:hAnsi="Arial" w:cs="Arial"/>
          <w:sz w:val="24"/>
          <w:szCs w:val="24"/>
          <w:lang w:val="it-IT"/>
        </w:rPr>
      </w:pPr>
      <w:r>
        <w:rPr>
          <w:rStyle w:val="Ninguno"/>
          <w:rFonts w:ascii="Arial" w:hAnsi="Arial" w:cs="Arial"/>
          <w:sz w:val="24"/>
          <w:szCs w:val="24"/>
          <w:lang w:val="it-IT"/>
        </w:rPr>
        <w:t>Medellín, 30 de noviembre</w:t>
      </w:r>
      <w:r w:rsidR="0073146D" w:rsidRPr="00D64C6C">
        <w:rPr>
          <w:rStyle w:val="Ninguno"/>
          <w:rFonts w:ascii="Arial" w:hAnsi="Arial" w:cs="Arial"/>
          <w:sz w:val="24"/>
          <w:szCs w:val="24"/>
          <w:lang w:val="it-IT"/>
        </w:rPr>
        <w:t xml:space="preserve"> de 2016</w:t>
      </w:r>
    </w:p>
    <w:p w:rsidR="0073146D" w:rsidRPr="00D64C6C" w:rsidRDefault="0073146D" w:rsidP="0073146D">
      <w:pPr>
        <w:pStyle w:val="CuerpoA"/>
        <w:spacing w:after="0" w:line="480" w:lineRule="auto"/>
        <w:rPr>
          <w:rStyle w:val="Ninguno"/>
          <w:rFonts w:ascii="Arial" w:hAnsi="Arial" w:cs="Arial"/>
          <w:sz w:val="24"/>
          <w:szCs w:val="24"/>
          <w:lang w:val="it-IT"/>
        </w:rPr>
      </w:pPr>
    </w:p>
    <w:p w:rsidR="0073146D" w:rsidRPr="00D64C6C" w:rsidRDefault="0073146D" w:rsidP="0073146D">
      <w:pPr>
        <w:pStyle w:val="CuerpoA"/>
        <w:spacing w:after="0" w:line="480" w:lineRule="auto"/>
        <w:rPr>
          <w:rStyle w:val="Ninguno"/>
          <w:rFonts w:ascii="Arial" w:hAnsi="Arial" w:cs="Arial"/>
          <w:b/>
          <w:sz w:val="24"/>
          <w:szCs w:val="24"/>
          <w:lang w:val="it-IT"/>
        </w:rPr>
      </w:pPr>
      <w:r w:rsidRPr="00D64C6C">
        <w:rPr>
          <w:rStyle w:val="Ninguno"/>
          <w:rFonts w:ascii="Arial" w:hAnsi="Arial" w:cs="Arial"/>
          <w:b/>
          <w:sz w:val="24"/>
          <w:szCs w:val="24"/>
          <w:lang w:val="it-IT"/>
        </w:rPr>
        <w:t>Editores</w:t>
      </w:r>
    </w:p>
    <w:p w:rsidR="0073146D" w:rsidRPr="003347DA" w:rsidRDefault="003347DA" w:rsidP="0073146D">
      <w:pPr>
        <w:pStyle w:val="CuerpoA"/>
        <w:spacing w:after="0" w:line="480" w:lineRule="auto"/>
        <w:rPr>
          <w:rStyle w:val="Ninguno"/>
          <w:rFonts w:ascii="Arial" w:hAnsi="Arial" w:cs="Arial"/>
          <w:b/>
          <w:sz w:val="24"/>
          <w:szCs w:val="24"/>
          <w:lang w:val="it-IT"/>
        </w:rPr>
      </w:pPr>
      <w:r w:rsidRPr="003347DA">
        <w:rPr>
          <w:rStyle w:val="Ninguno"/>
          <w:rFonts w:ascii="Arial" w:hAnsi="Arial" w:cs="Arial"/>
          <w:b/>
          <w:sz w:val="24"/>
          <w:szCs w:val="24"/>
          <w:lang w:val="it-IT"/>
        </w:rPr>
        <w:t>Vitae</w:t>
      </w:r>
    </w:p>
    <w:p w:rsidR="0073146D" w:rsidRPr="003347DA" w:rsidRDefault="003347DA" w:rsidP="0073146D">
      <w:pPr>
        <w:pStyle w:val="CuerpoA"/>
        <w:spacing w:after="0" w:line="480" w:lineRule="auto"/>
        <w:rPr>
          <w:rStyle w:val="Ninguno"/>
          <w:rFonts w:ascii="Arial" w:hAnsi="Arial" w:cs="Arial"/>
          <w:b/>
          <w:sz w:val="24"/>
          <w:szCs w:val="24"/>
          <w:lang w:val="it-IT"/>
        </w:rPr>
      </w:pPr>
      <w:r>
        <w:rPr>
          <w:rStyle w:val="Ninguno"/>
          <w:rFonts w:ascii="Arial" w:hAnsi="Arial" w:cs="Arial"/>
          <w:b/>
          <w:sz w:val="24"/>
          <w:szCs w:val="24"/>
          <w:lang w:val="it-IT"/>
        </w:rPr>
        <w:t>Facultad de Ciencias</w:t>
      </w:r>
      <w:r w:rsidRPr="003347DA">
        <w:rPr>
          <w:rStyle w:val="Ninguno"/>
          <w:rFonts w:ascii="Arial" w:hAnsi="Arial" w:cs="Arial"/>
          <w:b/>
          <w:sz w:val="24"/>
          <w:szCs w:val="24"/>
          <w:lang w:val="it-IT"/>
        </w:rPr>
        <w:t xml:space="preserve"> Farmaceutica</w:t>
      </w:r>
      <w:r>
        <w:rPr>
          <w:rStyle w:val="Ninguno"/>
          <w:rFonts w:ascii="Arial" w:hAnsi="Arial" w:cs="Arial"/>
          <w:b/>
          <w:sz w:val="24"/>
          <w:szCs w:val="24"/>
          <w:lang w:val="it-IT"/>
        </w:rPr>
        <w:t>s y Alimentarias</w:t>
      </w:r>
    </w:p>
    <w:p w:rsidR="003347DA" w:rsidRPr="00D64C6C" w:rsidRDefault="003347DA" w:rsidP="0073146D">
      <w:pPr>
        <w:pStyle w:val="CuerpoA"/>
        <w:spacing w:after="0" w:line="480" w:lineRule="auto"/>
        <w:rPr>
          <w:rStyle w:val="Ninguno"/>
          <w:rFonts w:ascii="Arial" w:hAnsi="Arial" w:cs="Arial"/>
          <w:sz w:val="24"/>
          <w:szCs w:val="24"/>
          <w:lang w:val="it-IT"/>
        </w:rPr>
      </w:pPr>
    </w:p>
    <w:p w:rsidR="0073146D" w:rsidRPr="003347DA" w:rsidRDefault="0073146D" w:rsidP="003347DA">
      <w:pPr>
        <w:pStyle w:val="CuerpoA"/>
        <w:spacing w:after="0" w:line="480" w:lineRule="auto"/>
        <w:rPr>
          <w:rStyle w:val="Ninguno"/>
          <w:rFonts w:ascii="Times New Roman" w:eastAsia="Arial" w:hAnsi="Times New Roman" w:cs="Times New Roman"/>
          <w:b/>
          <w:bCs/>
          <w:color w:val="FF0000"/>
          <w:sz w:val="24"/>
          <w:szCs w:val="24"/>
        </w:rPr>
      </w:pPr>
      <w:r w:rsidRPr="00D64C6C">
        <w:rPr>
          <w:rStyle w:val="Ninguno"/>
          <w:rFonts w:ascii="Arial" w:hAnsi="Arial" w:cs="Arial"/>
          <w:sz w:val="24"/>
          <w:szCs w:val="24"/>
          <w:lang w:val="it-IT"/>
        </w:rPr>
        <w:t>Asunto: manuscrito “</w:t>
      </w:r>
      <w:r w:rsidR="003347DA">
        <w:rPr>
          <w:rStyle w:val="Ninguno"/>
          <w:rFonts w:ascii="Arial" w:hAnsi="Arial" w:cs="Arial"/>
          <w:sz w:val="24"/>
          <w:szCs w:val="24"/>
          <w:lang w:val="it-IT"/>
        </w:rPr>
        <w:t>U</w:t>
      </w:r>
      <w:r w:rsidR="003347DA" w:rsidRPr="003347DA">
        <w:rPr>
          <w:rStyle w:val="Ninguno"/>
          <w:rFonts w:ascii="Arial" w:hAnsi="Arial" w:cs="Arial"/>
          <w:sz w:val="24"/>
          <w:szCs w:val="24"/>
          <w:lang w:val="it-IT"/>
        </w:rPr>
        <w:t>so del modelo múrido de diabetes inducido por estreptozotocina para la evaluación farmacodinámica de medicamentos</w:t>
      </w:r>
      <w:r w:rsidRPr="003347DA">
        <w:rPr>
          <w:rStyle w:val="Ninguno"/>
          <w:rFonts w:ascii="Arial" w:hAnsi="Arial" w:cs="Arial"/>
          <w:sz w:val="24"/>
          <w:szCs w:val="24"/>
          <w:lang w:val="it-IT"/>
        </w:rPr>
        <w:t>”</w:t>
      </w:r>
      <w:r w:rsidR="003347DA" w:rsidRPr="003347DA">
        <w:rPr>
          <w:rStyle w:val="Ninguno"/>
          <w:rFonts w:ascii="Arial" w:hAnsi="Arial" w:cs="Arial"/>
          <w:sz w:val="24"/>
          <w:szCs w:val="24"/>
          <w:lang w:val="it-IT"/>
        </w:rPr>
        <w:t>.</w:t>
      </w:r>
    </w:p>
    <w:p w:rsidR="003347DA" w:rsidRDefault="003347DA" w:rsidP="00D64C6C">
      <w:pPr>
        <w:pStyle w:val="CuerpoA"/>
        <w:spacing w:after="0" w:line="480" w:lineRule="auto"/>
        <w:jc w:val="both"/>
        <w:rPr>
          <w:rStyle w:val="Ninguno"/>
          <w:rFonts w:ascii="Arial" w:hAnsi="Arial" w:cs="Arial"/>
          <w:sz w:val="24"/>
          <w:szCs w:val="24"/>
        </w:rPr>
      </w:pPr>
    </w:p>
    <w:p w:rsidR="003347DA" w:rsidRDefault="003347DA" w:rsidP="003347DA">
      <w:pPr>
        <w:pStyle w:val="CuerpoA"/>
        <w:spacing w:after="0" w:line="480" w:lineRule="auto"/>
        <w:rPr>
          <w:rStyle w:val="Ninguno"/>
          <w:rFonts w:ascii="Arial" w:eastAsia="Arial" w:hAnsi="Arial" w:cs="Arial"/>
          <w:sz w:val="24"/>
          <w:szCs w:val="24"/>
        </w:rPr>
      </w:pPr>
      <w:r>
        <w:rPr>
          <w:rStyle w:val="Ninguno"/>
          <w:rFonts w:ascii="Arial" w:hAnsi="Arial"/>
          <w:sz w:val="24"/>
          <w:szCs w:val="24"/>
          <w:lang w:val="it-IT"/>
        </w:rPr>
        <w:t xml:space="preserve">La </w:t>
      </w:r>
      <w:r w:rsidRPr="00A219A2">
        <w:rPr>
          <w:rStyle w:val="Ninguno"/>
          <w:rFonts w:ascii="Arial" w:hAnsi="Arial"/>
          <w:sz w:val="24"/>
          <w:szCs w:val="24"/>
          <w:lang w:val="es-CO"/>
        </w:rPr>
        <w:t xml:space="preserve">incidencia </w:t>
      </w:r>
      <w:r>
        <w:rPr>
          <w:rStyle w:val="Ninguno"/>
          <w:rFonts w:ascii="Arial" w:hAnsi="Arial"/>
          <w:sz w:val="24"/>
          <w:szCs w:val="24"/>
          <w:lang w:val="es-CO"/>
        </w:rPr>
        <w:t xml:space="preserve">global </w:t>
      </w:r>
      <w:r w:rsidRPr="00A219A2">
        <w:rPr>
          <w:rStyle w:val="Ninguno"/>
          <w:rFonts w:ascii="Arial" w:hAnsi="Arial"/>
          <w:sz w:val="24"/>
          <w:szCs w:val="24"/>
          <w:lang w:val="es-CO"/>
        </w:rPr>
        <w:t>de di</w:t>
      </w:r>
      <w:r>
        <w:rPr>
          <w:rStyle w:val="Ninguno"/>
          <w:rFonts w:ascii="Arial" w:hAnsi="Arial"/>
          <w:sz w:val="24"/>
          <w:szCs w:val="24"/>
          <w:lang w:val="es-CO"/>
        </w:rPr>
        <w:t>abetes mellitus está aumentando: e</w:t>
      </w:r>
      <w:r>
        <w:rPr>
          <w:rStyle w:val="Ninguno"/>
          <w:rFonts w:ascii="Arial" w:hAnsi="Arial"/>
          <w:sz w:val="24"/>
          <w:szCs w:val="24"/>
        </w:rPr>
        <w:t>n el año 2014, hubo 387 millones de personas diagnosticadas y se esperan 205 millones de casos adicionales durante los próximos 20 años</w:t>
      </w:r>
      <w:r>
        <w:rPr>
          <w:rStyle w:val="Ninguno"/>
          <w:rFonts w:ascii="Arial" w:hAnsi="Arial"/>
          <w:sz w:val="24"/>
          <w:szCs w:val="24"/>
          <w:lang w:val="it-IT"/>
        </w:rPr>
        <w:t xml:space="preserve">. </w:t>
      </w:r>
      <w:r>
        <w:rPr>
          <w:rStyle w:val="Ninguno"/>
          <w:rFonts w:ascii="Arial" w:hAnsi="Arial"/>
          <w:sz w:val="24"/>
          <w:szCs w:val="24"/>
        </w:rPr>
        <w:t xml:space="preserve">Ante este panorama, es indispensable la búsqueda de nuevos tratamientos farmacológicos o la optimización de los existentes. Los modelos animales son una herramienta valiosa en dicha búsqueda y el modelo de diabetes inducido por estreptozotocina (STZ) ha sido uno de los más usados, sin embargo, el análisis de la literatura publicada muestra una gran diversidad </w:t>
      </w:r>
      <w:r>
        <w:rPr>
          <w:rStyle w:val="Ninguno"/>
          <w:rFonts w:ascii="Arial" w:hAnsi="Arial"/>
          <w:sz w:val="24"/>
          <w:szCs w:val="24"/>
          <w:u w:color="FF0000"/>
        </w:rPr>
        <w:t>de opciones en términos de especie animal, cepa (</w:t>
      </w:r>
      <w:proofErr w:type="spellStart"/>
      <w:r>
        <w:rPr>
          <w:rStyle w:val="Ninguno"/>
          <w:rFonts w:ascii="Arial" w:hAnsi="Arial"/>
          <w:sz w:val="24"/>
          <w:szCs w:val="24"/>
          <w:u w:color="FF0000"/>
        </w:rPr>
        <w:t>endocriada</w:t>
      </w:r>
      <w:proofErr w:type="spellEnd"/>
      <w:r>
        <w:rPr>
          <w:rStyle w:val="Ninguno"/>
          <w:rFonts w:ascii="Arial" w:hAnsi="Arial"/>
          <w:sz w:val="24"/>
          <w:szCs w:val="24"/>
          <w:u w:color="FF0000"/>
        </w:rPr>
        <w:t xml:space="preserve"> vs. exocriada), sexo, dosis de STZ</w:t>
      </w:r>
      <w:r>
        <w:rPr>
          <w:rStyle w:val="Ninguno"/>
          <w:rFonts w:ascii="Arial" w:hAnsi="Arial"/>
          <w:sz w:val="24"/>
          <w:szCs w:val="24"/>
        </w:rPr>
        <w:t>, frecuencia, preparación (fármaco con anómero equilibrado vs. no equilibrado) y</w:t>
      </w:r>
      <w:r>
        <w:rPr>
          <w:rStyle w:val="Ninguno"/>
          <w:rFonts w:ascii="Arial" w:hAnsi="Arial"/>
          <w:sz w:val="24"/>
          <w:szCs w:val="24"/>
          <w:u w:color="FF0000"/>
        </w:rPr>
        <w:t xml:space="preserve"> ruta de administración, y</w:t>
      </w:r>
      <w:r>
        <w:rPr>
          <w:rStyle w:val="Ninguno"/>
          <w:rFonts w:ascii="Arial" w:eastAsia="Arial" w:hAnsi="Arial" w:cs="Arial"/>
          <w:sz w:val="24"/>
          <w:szCs w:val="24"/>
        </w:rPr>
        <w:fldChar w:fldCharType="begin"/>
      </w:r>
      <w:r>
        <w:rPr>
          <w:rStyle w:val="Ninguno"/>
          <w:rFonts w:ascii="Arial" w:eastAsia="Arial" w:hAnsi="Arial" w:cs="Arial"/>
          <w:sz w:val="24"/>
          <w:szCs w:val="24"/>
        </w:rPr>
        <w:instrText xml:space="preserve"> ADDIN EN.CITE &lt;EndNote&gt;&lt;Cite  &gt;&lt;Author&gt;Ganda, O. P.; Rossini, A. A.; Like, A. A.&lt;/Author&gt;&lt;Year&gt;1976&lt;/Year&gt;&lt;RecNum&gt;12&lt;/RecNum&gt;&lt;Prefix&gt;&lt;/Prefix&gt;&lt;Suffix&gt;&lt;/Suffix&gt;&lt;Pages&gt;&lt;/Pages&gt;&lt;DisplayText&gt;(8, 13, 14)&lt;/DisplayText&gt;&lt;record&gt;&lt;database name="Rendon Biomedica 2016.enl" path="/Users/Andres.Zuluaga/Google Drive/Proyectos/UA024 Insulin/Papers/Optimizacion Modelo/Biomedica V18/Rendon Biomedica 2016.enlp/Rendon Biomedica 2016.enl"&gt;Rendon Biomedica 2016.enl&lt;/database&gt;&lt;source-app name="EndNote" version="17.5"&gt;EndNote&lt;/source-app&gt;&lt;rec-number&gt;12&lt;/rec-number&gt;&lt;foreign-keys&gt;&lt;key app="EN" db-id="d5t2wdzzn2zd94e92at5ts5zfv0etttxad0r"&gt;12&lt;/key&gt;&lt;/foreign-keys&gt;&lt;ref-type name="Journal Article"&gt;17&lt;/ref-type&gt;&lt;contributors&gt;&lt;authors&gt;&lt;author&gt;&lt;style face="normal" font="default" size="100%"&gt;Ganda, O. P.&lt;/style&gt;&lt;/author&gt;&lt;author&gt;&lt;style face="normal" font="default" size="100%"&gt;Rossini, A. A.&lt;/style&gt;&lt;/author&gt;&lt;author&gt;&lt;style face="normal" font="default" size="100%"&gt;Like, A. A.&lt;/style&gt;&lt;/author&gt;&lt;/authors&gt;&lt;/contributors&gt;&lt;titles&gt;&lt;title&gt;&lt;style face="normal" font="default" size="100%"&gt;Studies on streptozotocin diabetes&lt;/style&gt;&lt;/title&gt;&lt;secondary-title&gt;&lt;style face="normal" font="default" size="100%"&gt;Diabetes&lt;/style&gt;&lt;/secondary-title&gt;&lt;/titles&gt;&lt;periodical&gt;&lt;full-title&gt;&lt;style face="normal" font="default" size="100%"&gt;Diabetes&lt;/style&gt;&lt;/full-title&gt;&lt;/periodical&gt;&lt;pages&gt;&lt;style face="normal" font="default" size="100%"&gt;595-603&lt;/style&gt;&lt;/pages&gt;&lt;volume&gt;&lt;style face="normal" font="default" size="100%"&gt;25&lt;/style&gt;&lt;/volume&gt;&lt;number&gt;&lt;style face="normal" font="default" size="100%"&gt;7&lt;/style&gt;&lt;/number&gt;&lt;keywords&gt;&lt;keyword&gt;&lt;style face="normal" font="default" size="100%"&gt;Alloxan/antagonists &amp;amp; inhibitors/pharmacology&lt;/style&gt;&lt;/keyword&gt;&lt;keyword&gt;&lt;style face="normal" font="default" size="100%"&gt;Animals&lt;/style&gt;&lt;/keyword&gt;&lt;keyword&gt;&lt;style face="normal" font="default" size="100%"&gt;Blood Glucose/metabolism&lt;/style&gt;&lt;/keyword&gt;&lt;keyword&gt;&lt;style face="normal" font="default" size="100%"&gt;Deoxy Sugars/*pharmacology&lt;/style&gt;&lt;/keyword&gt;&lt;keyword&gt;&lt;style face="normal" font="default" size="100%"&gt;Deoxyglucose/*pharmacology&lt;/style&gt;&lt;/keyword&gt;&lt;keyword&gt;&lt;style face="normal" font="default" size="100%"&gt;Diabetes Mellitus/blood/*chemically induced/prevention &amp;amp; control&lt;/style&gt;&lt;/keyword&gt;&lt;keyword&gt;&lt;style face="normal" font="default" size="100%"&gt;Diabetes Mellitus, Experimental/prevention &amp;amp; control&lt;/style&gt;&lt;/keyword&gt;&lt;keyword&gt;&lt;style face="normal" font="default" size="100%"&gt;Disease Models, Animal&lt;/style&gt;&lt;/keyword&gt;&lt;keyword&gt;&lt;style face="normal" font="default" size="100%"&gt;Glucose/*pharmacology&lt;/style&gt;&lt;/keyword&gt;&lt;keyword&gt;&lt;style face="normal" font="default" size="100%"&gt;Islets of Langerhans/drug effects&lt;/style&gt;&lt;/keyword&gt;&lt;keyword&gt;&lt;style face="normal" font="default" size="100%"&gt;Male&lt;/style&gt;&lt;/keyword&gt;&lt;keyword&gt;&lt;style face="normal" font="default" size="100%"&gt;Mannoheptulose/pharmacology&lt;/style&gt;&lt;/keyword&gt;&lt;keyword&gt;&lt;style face="normal" font="default" size="100%"&gt;Mannose/*pharmacology&lt;/style&gt;&lt;/keyword&gt;&lt;keyword&gt;&lt;style face="normal" font="default" size="100%"&gt;Methylglucosides/*pharmacology&lt;/style&gt;&lt;/keyword&gt;&lt;keyword&gt;&lt;style face="normal" font="default" size="100%"&gt;Methylglycosides/*pharmacology&lt;/style&gt;&lt;/keyword&gt;&lt;keyword&gt;&lt;style face="normal" font="default" size="100%"&gt;Rats&lt;/style&gt;&lt;/keyword&gt;&lt;keyword&gt;&lt;style face="normal" font="default" size="100%"&gt;*Streptozocin/antagonists &amp;amp; inhibitors/pharmacology&lt;/style&gt;&lt;/keyword&gt;&lt;keyword&gt;&lt;style face="normal" font="default" size="100%"&gt;Structure-Activity Relationship&lt;/style&gt;&lt;/keyword&gt;&lt;keyword&gt;&lt;style face="normal" font="default" size="100%"&gt;Time Factors&lt;/style&gt;&lt;/keyword&gt;&lt;/keywords&gt;&lt;dates&gt;&lt;year&gt;&lt;style face="normal" font="default" size="100%"&gt;1976&lt;/style&gt;&lt;/year&gt;&lt;pub-dates&gt;&lt;date&gt;&lt;style face="normal" font="default" size="100%"&gt;Jul&lt;/style&gt;&lt;/date&gt;&lt;/pub-dates&gt;&lt;/dates&gt;&lt;isbn&gt;&lt;style face="normal" font="default" size="100%"&gt;0012-1797 (Print) 0012-1797 (Linking)&lt;/style&gt;&lt;/isbn&gt;&lt;accession-num&gt;&lt;style face="normal" font="default" size="100%"&gt;132382&lt;/style&gt;&lt;/accession-num&gt;&lt;abstract&gt;&lt;style face="normal" font="default" size="100%"&gt;Both alloxan and streptozotocin produce beta-cell necrosis in the rat. Previous studies have shown protection against alloxan toxicity by D-glucose, D-mannose, and the nonmetabolized analogue 3-0-methyl-D-glucose and removal of this protective effect by D-mannoheptulose. The effect of several agents (i.v. infusion) against the beta-cell toxic effect of streptozotocin (60 mg./kg. i.v. in 24-hour-fasted 200-gm. male rats) was studied. Protection was determined by plasma glucose concentrations 24 and 48 hours later and, in certain experiments, by histologic examination of the islets. D-glucose and D-mannose provided no protection. Similarly, D-galactose, D-fructose, alpha-methyl-D-glucoside, D-L-glyceraldehyde, D-xylose, and D-glucosamine had no effect. However, 3-0-methyl-D-glucose administered immediately before streptozotocin resulted in progressive inhibition of beta-cell toxicity with complete protection at 0.83 mMoles per rat. The protective effect of 3-0-methyl-D-glucose was not altered by mannoheptulose. 2-Deoxy-D-glucose, which has no effect against alloxan, provided nearly complete protection against streptozotocin at 2.2 mMoles per rat. The effects of 3-0-methyl-D-glucose and 2-deoxy-D-glucose were additive and were not altered by glucose. Furthermore, the 3-0-methyl-D-glucose as well as 2-deoxy-D-glucose protective effects were still present, albeit attenuated, when these agents were given following the administration of streptozotocin. This is in contrast to alloxan, against which 3-0-methyl-D-glucose provides protection only when given before alloxan. 3-0-Methyl-D-glucose is the only carbohydrate protective against both streptozotocin and alloxan in the rat. However, several silent differences seem to exist between the mechanisms of beta-cytotoxic effects of these two diabetogenic compounds.&lt;/style&gt;&lt;/abstract&gt;&lt;notes&gt;&lt;style face="normal" font="default" size="100%"&gt;Ganda, O P Rossini, A A Like, A A eng Research Support, U.S. Gov't, P.H.S. 1976/07/01 Diabetes. 1976 Jul;25(7):595-603.&lt;/style&gt;&lt;/notes&gt;&lt;urls&gt;&lt;related-urls&gt;&lt;url&gt;&lt;style face="normal" font="default" size="100%"&gt;http://www.ncbi.nlm.nih.gov/pubmed/132382&lt;/style&gt;&lt;/url&gt;&lt;/related-urls&gt;&lt;/urls&gt;&lt;/record&gt;&lt;/Cite&gt;&lt;Cite  &gt;&lt;Author&gt;Hernandorena, B.H.; Rodríguez-García, J.C.; Rodríguez-González, J.C.; Marrero-Rodríguez, M.T.&lt;/Author&gt;&lt;Year&gt;2002&lt;/Year&gt;&lt;Prefix&gt;&lt;/Prefix&gt;&lt;Suffix&gt;&lt;/Suffix&gt;&lt;Pages&gt;&lt;/Pages&gt;&lt;record&gt;&lt;database name="Rendon Biomedica 2016.enl" path="/Users/andreszuluaga/Library/Mobile Documents/com~apple~CloudDocs/Biomedica/Rendon Biomedica 2016.enlp/Rendon Biomedica 2016.enl"&gt;Rendon Biomedica 2016.enl&lt;/database&gt;&lt;source-app name="EndNote" version="17.5"&gt;EndNote&lt;/source-app&gt;&lt;rec-number&gt;1&lt;/rec-number&gt;&lt;foreign-keys&gt;&lt;key app="EN" db-id="d5t2wdzzn2zd94e92at5ts5zfv0etttxad0r"&gt;1&lt;/key&gt;&lt;/foreign-keys&gt;&lt;ref-type name="Journal Article"&gt;17&lt;/ref-type&gt;&lt;contributors&gt;&lt;authors&gt;&lt;author&gt;&lt;style face="normal" font="default" size="100%"&gt;Hernandorena, B.H.; Rodríguez-García, J.C.; Rodríguez-González, J.C.; Marrero-Rodríguez, M.T.&lt;/style&gt;&lt;/author&gt;&lt;/authors&gt;&lt;/contributors&gt;&lt;titles&gt;&lt;title&gt;&lt;style face="normal" font="default" size="100%"&gt;Animales de experimentación como modelos de la diabetes mellitus tipo 2&lt;/style&gt;&lt;/title&gt;&lt;secondary-title&gt;&lt;style face="normal" font="default" size="100%"&gt;Rev Cubana Endocrinol&lt;/style&gt;&lt;/secondary-title&gt;&lt;/titles&gt;&lt;periodical&gt;&lt;full-title&gt;&lt;style face="normal" font="default" size="100%"&gt;Rev Cubana Endocrinol&lt;/style&gt;&lt;/full-title&gt;&lt;/periodical&gt;&lt;pages&gt;&lt;style face="normal" font="default" size="100%"&gt;163-172&lt;/style&gt;&lt;/pages&gt;&lt;volume&gt;&lt;style face="normal" font="default" size="100%"&gt;13&lt;/style&gt;&lt;/volume&gt;&lt;number&gt;&lt;style face="normal" font="default" size="100%"&gt;2&lt;/style&gt;&lt;/number&gt;&lt;dates&gt;&lt;year&gt;&lt;style face="normal" font="default" size="100%"&gt;2002&lt;/style&gt;&lt;/year&gt;&lt;/dates&gt;&lt;urls&gt;&lt;/urls&gt;&lt;/record&gt;&lt;/Cite&gt;&lt;Cite  &gt;&lt;Author&gt;Lu, Y.; Liu, Y.; Li, H.; Wang, X.; Wu, W.; Gao, L.&lt;/Author&gt;&lt;Year&gt;2015&lt;/Year&gt;&lt;RecNum&gt;2&lt;/RecNum&gt;&lt;Prefix&gt;&lt;/Prefix&gt;&lt;Suffix&gt;&lt;/Suffix&gt;&lt;Pages&gt;&lt;/Pages&gt;&lt;record&gt;&lt;database name="en002405c4" path="/Users/andreszuluaga/Library/Caches/TemporaryItems/en002405c4"&gt;en002405c4&lt;/database&gt;&lt;source-app name="EndNote" version="17.5"&gt;EndNote&lt;/source-app&gt;&lt;rec-number&gt;2&lt;/rec-number&gt;&lt;foreign-keys&gt;&lt;key app="EN" db-id="0vrvpd9phvdds4e0e2p5pea422x9t20perp0"&gt;2&lt;/key&gt;&lt;/foreign-keys&gt;&lt;ref-type name="Journal Article"&gt;17&lt;/ref-type&gt;&lt;contributors&gt;&lt;authors&gt;&lt;author&gt;&lt;style face="normal" font="default" size="100%"&gt;Lu, Y.&lt;/style&gt;&lt;/author&gt;&lt;author&gt;&lt;style face="normal" font="default" size="100%"&gt;Liu, Y.&lt;/style&gt;&lt;/author&gt;&lt;author&gt;&lt;style face="normal" font="default" size="100%"&gt;Li, H.&lt;/style&gt;&lt;/author&gt;&lt;author&gt;&lt;style face="normal" font="default" size="100%"&gt;Wang, X.&lt;/style&gt;&lt;/author&gt;&lt;author&gt;&lt;style face="normal" font="default" size="100%"&gt;Wu, W.&lt;/style&gt;&lt;/author&gt;&lt;author&gt;&lt;style face="normal" font="default" size="100%"&gt;Gao, L.&lt;/style&gt;&lt;/author&gt;&lt;/authors&gt;&lt;/contributors&gt;&lt;auth-address&gt;&lt;style face="normal" font="default" size="100%"&gt;Jilin University. luying1976star@hotmail.com.&lt;/style&gt;&lt;/auth-address&gt;&lt;titles&gt;&lt;title&gt;&lt;style face="normal" font="default" size="100%"&gt;Effect and mechanisms of zinc supplementation in protecting against diabetic cardiomyopathy in a rat model of type 2 diabetes&lt;/style&gt;&lt;/title&gt;&lt;secondary-title&gt;&lt;style face="normal" font="default" size="100%"&gt;Bosn J Basic Med Sci&lt;/style&gt;&lt;/secondary-title&gt;&lt;/titles&gt;&lt;periodical&gt;&lt;full-title&gt;&lt;style face="normal" font="default" size="100%"&gt;Bosn J Basic Med Sci&lt;/style&gt;&lt;/full-title&gt;&lt;/periodical&gt;&lt;pages&gt;&lt;style face="normal" font="default" size="100%"&gt;14-20&lt;/style&gt;&lt;/pages&gt;&lt;volume&gt;&lt;style face="normal" font="default" size="100%"&gt;15&lt;/style&gt;&lt;/volume&gt;&lt;number&gt;&lt;style face="normal" font="default" size="100%"&gt;1&lt;/style&gt;&lt;/number&gt;&lt;keywords&gt;&lt;keyword&gt;&lt;style face="normal" font="default" size="100%"&gt;Animals&lt;/style&gt;&lt;/keyword&gt;&lt;keyword&gt;&lt;style face="normal" font="default" size="100%"&gt;Autophagy/drug effects&lt;/style&gt;&lt;/keyword&gt;&lt;keyword&gt;&lt;style face="normal" font="default" size="100%"&gt;Biomarkers/metabolism&lt;/style&gt;&lt;/keyword&gt;&lt;keyword&gt;&lt;style face="normal" font="default" size="100%"&gt;Blood Glucose/metabolism&lt;/style&gt;&lt;/keyword&gt;&lt;keyword&gt;&lt;style face="normal" font="default" size="100%"&gt;Diabetes Mellitus, Type 2/*complications/*etiology&lt;/style&gt;&lt;/keyword&gt;&lt;keyword&gt;&lt;style face="normal" font="default" size="100%"&gt;Diabetic Cardiomyopathies/metabolism/*prevention &amp;amp; control&lt;/style&gt;&lt;/keyword&gt;&lt;keyword&gt;&lt;style face="normal" font="default" size="100%"&gt;Diet, High-Fat/adverse effects&lt;/style&gt;&lt;/keyword&gt;&lt;keyword&gt;&lt;style face="normal" font="default" size="100%"&gt;*Dietary Supplements&lt;/style&gt;&lt;/keyword&gt;&lt;keyword&gt;&lt;style face="normal" font="default" size="100%"&gt;Disease Models, Animal&lt;/style&gt;&lt;/keyword&gt;&lt;keyword&gt;&lt;style face="normal" font="default" size="100%"&gt;Endoplasmic Reticulum Stress/drug effects&lt;/style&gt;&lt;/keyword&gt;&lt;keyword&gt;&lt;style face="normal" font="default" size="100%"&gt;Heat-Shock Proteins/metabolism&lt;/style&gt;&lt;/keyword&gt;&lt;keyword&gt;&lt;style face="normal" font="default" size="100%"&gt;Male&lt;/style&gt;&lt;/keyword&gt;&lt;keyword&gt;&lt;style face="normal" font="default" size="100%"&gt;Metallothionein/metabolism&lt;/style&gt;&lt;/keyword&gt;&lt;keyword&gt;&lt;style face="normal" font="default" size="100%"&gt;Microtubule-Associated Proteins/metabolism&lt;/style&gt;&lt;/keyword&gt;&lt;keyword&gt;&lt;style face="normal" font="default" size="100%"&gt;Rats&lt;/style&gt;&lt;/keyword&gt;&lt;keyword&gt;&lt;style face="normal" font="default" size="100%"&gt;Rats, Wistar&lt;/style&gt;&lt;/keyword&gt;&lt;keyword&gt;&lt;style face="normal" font="default" size="100%"&gt;Streptozocin/*adverse effects&lt;/style&gt;&lt;/keyword&gt;&lt;keyword&gt;&lt;style face="normal" font="default" size="100%"&gt;Treatment Outcome&lt;/style&gt;&lt;/keyword&gt;&lt;keyword&gt;&lt;style face="normal" font="default" size="100%"&gt;Zinc/*administration &amp;amp; dosage/pharmacology/*therapeutic use&lt;/style&gt;&lt;/keyword&gt;&lt;/keywords&gt;&lt;dates&gt;&lt;year&gt;&lt;style face="normal" font="default" size="100%"&gt;2015&lt;/style&gt;&lt;/year&gt;&lt;/dates&gt;&lt;isbn&gt;&lt;style face="normal" font="default" size="100%"&gt;1840-4812 (Electronic) 1512-8601 (Linking)&lt;/style&gt;&lt;/isbn&gt;&lt;accession-num&gt;&lt;style face="normal" font="default" size="100%"&gt;25725139&lt;/style&gt;&lt;/accession-num&gt;&lt;abstract&gt;&lt;style face="normal" font="default" size="100%"&gt;Diabetic cardiomyopathy is a prominent cause of heart failure in patients with diabetes mellitus. Currently, there is no specific treatment for diabetic cardiomyopathy. This study aimed to investigate the effect and underlying mechanisms of Zinc (Zn) supplementation in the protection against diabetic cardiomyopathy in a rat model of type 2 diabetes mellitus (T2DM). T2DM-like lesions in male Wistar rats were induced by introducing the high-fat diet and by administration of streptozocin (STZ). After STZ induction, animals with fasting plasma glucose level &amp;gt;/=16.7 mM were considered as diabetic, and randomly assigned to the group receiving physiological saline (control) or ZnSO4 for 56 days. On days 0, 7, 28 and 56 of treatment, animals were weighed, and their blood samples were analyzed. On day 56, hemodynamic assessment was performed right before the sacrifice of animals. Cardiac tissue specimens were collected and subjected to pathologic assessment, metallothionein (MT) concentration measurement and Western blot analysis of microtubule-associated protein light chain 3 (LC3), the marker of autophagy, and glucose-regulated protein-78 (GRP78), an oxidative stress marker. High-fat diet feeding followed by STZ administration resulted in weight loss, hyperglycemia, polydipsia, polyphagia, hemodynamic anomalies and a significant increase in the myocardial content of LC3 and GRP78 proteins, but not in MT protein. Zn supplementation effectively attenuated all these aberrations induced by high-fat diet and STZ. These findings suggest that Zn might be a protective factor in diabetic cardiomyopathy, acting in two ways: at least partially, through inhibiting autophagy and by endoplasmic reticulum stress.&lt;/style&gt;&lt;/abstract&gt;&lt;notes&gt;&lt;style face="normal" font="default" size="100%"&gt;Lu, Ying Liu, Ya Li, Hongyan Wang, Xue Wu, Wenjie Gao, Lichao eng Research Support, Non-U.S. Gov't Bosnia and Herzegovina 2015/03/01 06:00 Bosn J Basic Med Sci. 2015 Feb 5;15(1):14-20. doi: 10.17305/bjbms.2015.63.&lt;/style&gt;&lt;/notes&gt;&lt;urls&gt;&lt;related-urls&gt;&lt;url&gt;&lt;style face="normal" font="default" size="100%"&gt;http://www.ncbi.nlm.nih.gov/pubmed/25725139&lt;/style&gt;&lt;/url&gt;&lt;/related-urls&gt;&lt;/urls&gt;&lt;custom2&gt;&lt;style face="normal" font="default" size="100%"&gt;PMC4365671&lt;/style&gt;&lt;/custom2&gt;&lt;electronic-resource-num&gt;&lt;style face="normal" font="default" size="100%"&gt;10.17305/bjbms.2015.63&lt;/style&gt;&lt;/electronic-resource-num&gt;&lt;/record&gt;&lt;/Cite&gt;&lt;/EndNote&gt;</w:instrText>
      </w:r>
      <w:r>
        <w:rPr>
          <w:rStyle w:val="Ninguno"/>
          <w:rFonts w:ascii="Arial" w:eastAsia="Arial" w:hAnsi="Arial" w:cs="Arial"/>
          <w:sz w:val="24"/>
          <w:szCs w:val="24"/>
        </w:rPr>
        <w:fldChar w:fldCharType="end"/>
      </w:r>
      <w:r>
        <w:rPr>
          <w:rStyle w:val="Ninguno"/>
          <w:rFonts w:ascii="Arial" w:hAnsi="Arial"/>
          <w:sz w:val="24"/>
          <w:szCs w:val="24"/>
        </w:rPr>
        <w:t xml:space="preserve"> es posible que esto explique la enorme variabilidad de los resultados obtenidos y la limitada utilización del modelo para estudios de farmacodinámicos.</w:t>
      </w:r>
    </w:p>
    <w:p w:rsidR="003347DA" w:rsidRDefault="003347DA" w:rsidP="003347DA">
      <w:pPr>
        <w:pStyle w:val="CuerpoA"/>
        <w:spacing w:after="0" w:line="480" w:lineRule="auto"/>
        <w:rPr>
          <w:rStyle w:val="Ninguno"/>
          <w:rFonts w:ascii="Arial" w:hAnsi="Arial"/>
          <w:sz w:val="24"/>
          <w:szCs w:val="24"/>
        </w:rPr>
      </w:pPr>
    </w:p>
    <w:p w:rsidR="003347DA" w:rsidRDefault="003347DA" w:rsidP="003347DA">
      <w:pPr>
        <w:pStyle w:val="CuerpoA"/>
        <w:spacing w:after="0" w:line="480" w:lineRule="auto"/>
        <w:rPr>
          <w:rStyle w:val="Ninguno"/>
          <w:rFonts w:ascii="Arial" w:hAnsi="Arial"/>
          <w:sz w:val="24"/>
          <w:szCs w:val="24"/>
        </w:rPr>
      </w:pPr>
      <w:r w:rsidRPr="00B346DF">
        <w:rPr>
          <w:rStyle w:val="Ninguno"/>
          <w:rFonts w:ascii="Arial" w:hAnsi="Arial"/>
          <w:sz w:val="24"/>
          <w:szCs w:val="24"/>
        </w:rPr>
        <w:lastRenderedPageBreak/>
        <w:t>N</w:t>
      </w:r>
      <w:bookmarkStart w:id="0" w:name="_GoBack"/>
      <w:bookmarkEnd w:id="0"/>
      <w:r w:rsidRPr="00B346DF">
        <w:rPr>
          <w:rStyle w:val="Ninguno"/>
          <w:rFonts w:ascii="Arial" w:hAnsi="Arial"/>
          <w:sz w:val="24"/>
          <w:szCs w:val="24"/>
        </w:rPr>
        <w:t xml:space="preserve">uestro objetivo </w:t>
      </w:r>
      <w:r>
        <w:rPr>
          <w:rStyle w:val="Ninguno"/>
          <w:rFonts w:ascii="Arial" w:hAnsi="Arial"/>
          <w:sz w:val="24"/>
          <w:szCs w:val="24"/>
        </w:rPr>
        <w:t xml:space="preserve">en este trabajo </w:t>
      </w:r>
      <w:r w:rsidRPr="00B346DF">
        <w:rPr>
          <w:rStyle w:val="Ninguno"/>
          <w:rFonts w:ascii="Arial" w:hAnsi="Arial"/>
          <w:sz w:val="24"/>
          <w:szCs w:val="24"/>
        </w:rPr>
        <w:t xml:space="preserve">fue validar </w:t>
      </w:r>
      <w:r>
        <w:rPr>
          <w:rStyle w:val="Ninguno"/>
          <w:rFonts w:ascii="Arial" w:hAnsi="Arial"/>
          <w:sz w:val="24"/>
          <w:szCs w:val="24"/>
        </w:rPr>
        <w:t>el</w:t>
      </w:r>
      <w:r w:rsidRPr="00B346DF">
        <w:rPr>
          <w:rStyle w:val="Ninguno"/>
          <w:rFonts w:ascii="Arial" w:hAnsi="Arial"/>
          <w:sz w:val="24"/>
          <w:szCs w:val="24"/>
        </w:rPr>
        <w:t xml:space="preserve"> modelo de diabetes inducida por STZ</w:t>
      </w:r>
      <w:r>
        <w:rPr>
          <w:rStyle w:val="Ninguno"/>
          <w:rFonts w:ascii="Arial" w:hAnsi="Arial"/>
          <w:sz w:val="24"/>
          <w:szCs w:val="24"/>
        </w:rPr>
        <w:t xml:space="preserve"> estabilizada</w:t>
      </w:r>
      <w:r w:rsidRPr="005A4F46">
        <w:rPr>
          <w:rStyle w:val="Ninguno"/>
          <w:rFonts w:ascii="Arial" w:hAnsi="Arial"/>
          <w:sz w:val="24"/>
          <w:szCs w:val="24"/>
        </w:rPr>
        <w:t xml:space="preserve"> </w:t>
      </w:r>
      <w:r w:rsidRPr="00B346DF">
        <w:rPr>
          <w:rStyle w:val="Ninguno"/>
          <w:rFonts w:ascii="Arial" w:hAnsi="Arial"/>
          <w:sz w:val="24"/>
          <w:szCs w:val="24"/>
        </w:rPr>
        <w:t>en ratones exocriados para determinar de forma reproducible la farmacodinamia de</w:t>
      </w:r>
      <w:r>
        <w:rPr>
          <w:rStyle w:val="Ninguno"/>
          <w:rFonts w:ascii="Arial" w:hAnsi="Arial"/>
          <w:sz w:val="24"/>
          <w:szCs w:val="24"/>
        </w:rPr>
        <w:t xml:space="preserve"> la insulina regular, con potencial aplicación a otros medicamentos antidiabéticos. Todos los autores aprobaron la versión final, y no ha sometido a ninguna otra revista. Esperamos sea apropiado para Biomédica.</w:t>
      </w:r>
    </w:p>
    <w:p w:rsidR="003347DA" w:rsidRDefault="003347DA" w:rsidP="003347DA">
      <w:pPr>
        <w:pStyle w:val="CuerpoA"/>
        <w:spacing w:after="0" w:line="480" w:lineRule="auto"/>
        <w:rPr>
          <w:rStyle w:val="Ninguno"/>
          <w:rFonts w:ascii="Arial" w:hAnsi="Arial"/>
          <w:sz w:val="24"/>
          <w:szCs w:val="24"/>
        </w:rPr>
      </w:pPr>
    </w:p>
    <w:p w:rsidR="003347DA" w:rsidRDefault="003347DA" w:rsidP="003347DA">
      <w:pPr>
        <w:pStyle w:val="CuerpoA"/>
        <w:spacing w:after="0" w:line="480" w:lineRule="auto"/>
        <w:rPr>
          <w:rStyle w:val="Ninguno"/>
          <w:rFonts w:ascii="Arial" w:hAnsi="Arial"/>
          <w:sz w:val="24"/>
          <w:szCs w:val="24"/>
        </w:rPr>
      </w:pPr>
    </w:p>
    <w:p w:rsidR="003347DA" w:rsidRDefault="003347DA" w:rsidP="003347DA">
      <w:pPr>
        <w:pStyle w:val="CuerpoA"/>
        <w:spacing w:after="0" w:line="480" w:lineRule="auto"/>
        <w:rPr>
          <w:rStyle w:val="Ninguno"/>
          <w:rFonts w:ascii="Arial" w:hAnsi="Arial"/>
          <w:sz w:val="24"/>
          <w:szCs w:val="24"/>
        </w:rPr>
      </w:pPr>
      <w:r>
        <w:rPr>
          <w:rStyle w:val="Ninguno"/>
          <w:rFonts w:ascii="Arial" w:hAnsi="Arial"/>
          <w:sz w:val="24"/>
          <w:szCs w:val="24"/>
        </w:rPr>
        <w:t xml:space="preserve">Andrés F.  Zuluaga, </w:t>
      </w:r>
      <w:proofErr w:type="spellStart"/>
      <w:r>
        <w:rPr>
          <w:rStyle w:val="Ninguno"/>
          <w:rFonts w:ascii="Arial" w:hAnsi="Arial"/>
          <w:sz w:val="24"/>
          <w:szCs w:val="24"/>
        </w:rPr>
        <w:t>MSc</w:t>
      </w:r>
      <w:proofErr w:type="spellEnd"/>
      <w:r>
        <w:rPr>
          <w:rStyle w:val="Ninguno"/>
          <w:rFonts w:ascii="Arial" w:hAnsi="Arial"/>
          <w:sz w:val="24"/>
          <w:szCs w:val="24"/>
        </w:rPr>
        <w:t>, MD</w:t>
      </w:r>
    </w:p>
    <w:p w:rsidR="003347DA" w:rsidRDefault="003347DA" w:rsidP="003347DA">
      <w:pPr>
        <w:pStyle w:val="CuerpoA"/>
        <w:spacing w:after="0" w:line="480" w:lineRule="auto"/>
        <w:rPr>
          <w:rStyle w:val="Ninguno"/>
          <w:rFonts w:ascii="Arial" w:hAnsi="Arial"/>
          <w:sz w:val="24"/>
          <w:szCs w:val="24"/>
        </w:rPr>
      </w:pPr>
      <w:r>
        <w:rPr>
          <w:rStyle w:val="Ninguno"/>
          <w:rFonts w:ascii="Arial" w:hAnsi="Arial"/>
          <w:sz w:val="24"/>
          <w:szCs w:val="24"/>
        </w:rPr>
        <w:t>Profesor titular y líder científico</w:t>
      </w:r>
    </w:p>
    <w:p w:rsidR="003347DA" w:rsidRDefault="003347DA" w:rsidP="003347DA">
      <w:pPr>
        <w:pStyle w:val="CuerpoA"/>
        <w:spacing w:after="0" w:line="480" w:lineRule="auto"/>
        <w:rPr>
          <w:rStyle w:val="Ninguno"/>
          <w:rFonts w:ascii="Arial" w:hAnsi="Arial"/>
          <w:sz w:val="24"/>
          <w:szCs w:val="24"/>
        </w:rPr>
      </w:pPr>
      <w:proofErr w:type="spellStart"/>
      <w:r>
        <w:rPr>
          <w:rStyle w:val="Ninguno"/>
          <w:rFonts w:ascii="Arial" w:hAnsi="Arial"/>
          <w:sz w:val="24"/>
          <w:szCs w:val="24"/>
        </w:rPr>
        <w:t>Dpto</w:t>
      </w:r>
      <w:proofErr w:type="spellEnd"/>
      <w:r>
        <w:rPr>
          <w:rStyle w:val="Ninguno"/>
          <w:rFonts w:ascii="Arial" w:hAnsi="Arial"/>
          <w:sz w:val="24"/>
          <w:szCs w:val="24"/>
        </w:rPr>
        <w:t xml:space="preserve"> de Farmacología y Toxicología, CIEMTO</w:t>
      </w:r>
    </w:p>
    <w:p w:rsidR="003347DA" w:rsidRDefault="003347DA" w:rsidP="003347DA">
      <w:pPr>
        <w:pStyle w:val="CuerpoA"/>
        <w:spacing w:after="0" w:line="480" w:lineRule="auto"/>
        <w:rPr>
          <w:rStyle w:val="Ninguno"/>
          <w:rFonts w:ascii="Arial" w:hAnsi="Arial"/>
          <w:sz w:val="24"/>
          <w:szCs w:val="24"/>
        </w:rPr>
      </w:pPr>
      <w:r>
        <w:rPr>
          <w:rStyle w:val="Ninguno"/>
          <w:rFonts w:ascii="Arial" w:hAnsi="Arial"/>
          <w:sz w:val="24"/>
          <w:szCs w:val="24"/>
        </w:rPr>
        <w:t>Facultad de Medicina</w:t>
      </w:r>
    </w:p>
    <w:p w:rsidR="00D64C6C" w:rsidRPr="00D64C6C" w:rsidRDefault="003347DA" w:rsidP="003347DA">
      <w:pPr>
        <w:pStyle w:val="CuerpoA"/>
        <w:spacing w:after="0" w:line="480" w:lineRule="auto"/>
        <w:jc w:val="both"/>
        <w:rPr>
          <w:rFonts w:ascii="Arial" w:hAnsi="Arial" w:cs="Arial"/>
        </w:rPr>
      </w:pPr>
      <w:r>
        <w:rPr>
          <w:rStyle w:val="Ninguno"/>
          <w:rFonts w:ascii="Arial" w:hAnsi="Arial"/>
          <w:sz w:val="24"/>
          <w:szCs w:val="24"/>
        </w:rPr>
        <w:t>Universidad de Antioquia</w:t>
      </w:r>
    </w:p>
    <w:sectPr w:rsidR="00D64C6C" w:rsidRPr="00D64C6C" w:rsidSect="00FD692D">
      <w:headerReference w:type="default" r:id="rId7"/>
      <w:footerReference w:type="default" r:id="rId8"/>
      <w:pgSz w:w="12240" w:h="15840"/>
      <w:pgMar w:top="1980" w:right="1701" w:bottom="1417" w:left="1701" w:header="142"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590" w:rsidRDefault="00284590" w:rsidP="00CC07F1">
      <w:r>
        <w:separator/>
      </w:r>
    </w:p>
  </w:endnote>
  <w:endnote w:type="continuationSeparator" w:id="0">
    <w:p w:rsidR="00284590" w:rsidRDefault="00284590" w:rsidP="00CC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D4" w:rsidRDefault="00E855D4" w:rsidP="00E855D4">
    <w:pPr>
      <w:pStyle w:val="Piedepgina"/>
      <w:tabs>
        <w:tab w:val="clear" w:pos="8838"/>
        <w:tab w:val="right" w:pos="8931"/>
      </w:tabs>
      <w:ind w:left="-426" w:right="-234"/>
      <w:jc w:val="center"/>
      <w:rPr>
        <w:rFonts w:ascii="Times New Roman" w:hAnsi="Times New Roman" w:cs="Times New Roman"/>
        <w:color w:val="004600"/>
        <w:sz w:val="18"/>
        <w:szCs w:val="18"/>
      </w:rPr>
    </w:pPr>
    <w:r>
      <w:rPr>
        <w:rFonts w:ascii="Times New Roman" w:hAnsi="Times New Roman" w:cs="Times New Roman"/>
        <w:color w:val="004600"/>
        <w:sz w:val="18"/>
        <w:szCs w:val="18"/>
      </w:rPr>
      <w:t>Recepción de correspondencia: C</w:t>
    </w:r>
    <w:r w:rsidR="00CC07F1" w:rsidRPr="00D64F06">
      <w:rPr>
        <w:rFonts w:ascii="Times New Roman" w:hAnsi="Times New Roman" w:cs="Times New Roman"/>
        <w:color w:val="004600"/>
        <w:sz w:val="18"/>
        <w:szCs w:val="18"/>
      </w:rPr>
      <w:t xml:space="preserve">alle 70 No. 52 - 21 | Apartado Aéreo 1226 | Dirección: calle 67 No. 53 - 108 </w:t>
    </w:r>
  </w:p>
  <w:p w:rsidR="007B228C" w:rsidRDefault="00CC07F1" w:rsidP="00E855D4">
    <w:pPr>
      <w:pStyle w:val="Piedepgina"/>
      <w:tabs>
        <w:tab w:val="clear" w:pos="8838"/>
        <w:tab w:val="right" w:pos="8931"/>
      </w:tabs>
      <w:ind w:left="-426" w:right="-234"/>
      <w:jc w:val="center"/>
      <w:rPr>
        <w:rFonts w:ascii="Times New Roman" w:hAnsi="Times New Roman" w:cs="Times New Roman"/>
        <w:color w:val="004600"/>
        <w:sz w:val="18"/>
        <w:szCs w:val="18"/>
      </w:rPr>
    </w:pPr>
    <w:r w:rsidRPr="00D64F06">
      <w:rPr>
        <w:rFonts w:ascii="Times New Roman" w:hAnsi="Times New Roman" w:cs="Times New Roman"/>
        <w:color w:val="004600"/>
        <w:sz w:val="18"/>
        <w:szCs w:val="18"/>
      </w:rPr>
      <w:t xml:space="preserve">Conmutador: [57+4] 219 8332 | Correo electrónico: atencionciudadano@udea.edu.co | NIT 890980040-8 </w:t>
    </w:r>
    <w:r w:rsidR="007B228C" w:rsidRPr="00D64F06">
      <w:rPr>
        <w:rFonts w:ascii="Times New Roman" w:hAnsi="Times New Roman" w:cs="Times New Roman"/>
        <w:color w:val="004600"/>
        <w:sz w:val="18"/>
        <w:szCs w:val="18"/>
      </w:rPr>
      <w:t>|</w:t>
    </w:r>
  </w:p>
  <w:p w:rsidR="00CC07F1" w:rsidRDefault="00CC07F1" w:rsidP="00E855D4">
    <w:pPr>
      <w:pStyle w:val="Piedepgina"/>
      <w:tabs>
        <w:tab w:val="clear" w:pos="8838"/>
        <w:tab w:val="right" w:pos="8931"/>
      </w:tabs>
      <w:ind w:left="-426" w:right="-234"/>
      <w:jc w:val="center"/>
    </w:pPr>
    <w:r w:rsidRPr="00D64F06">
      <w:rPr>
        <w:rFonts w:ascii="Times New Roman" w:hAnsi="Times New Roman" w:cs="Times New Roman"/>
        <w:color w:val="004600"/>
        <w:sz w:val="18"/>
        <w:szCs w:val="18"/>
      </w:rPr>
      <w:t>http://www.udea.edu.co ▪ Medellín -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590" w:rsidRDefault="00284590" w:rsidP="00CC07F1">
      <w:r>
        <w:separator/>
      </w:r>
    </w:p>
  </w:footnote>
  <w:footnote w:type="continuationSeparator" w:id="0">
    <w:p w:rsidR="00284590" w:rsidRDefault="00284590" w:rsidP="00CC0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7F1" w:rsidRDefault="004370A1" w:rsidP="005D16E9">
    <w:pPr>
      <w:pStyle w:val="Encabezado"/>
      <w:tabs>
        <w:tab w:val="clear" w:pos="4419"/>
      </w:tabs>
      <w:jc w:val="center"/>
    </w:pPr>
    <w:r>
      <w:rPr>
        <w:noProof/>
        <w:lang w:eastAsia="es-CO"/>
      </w:rPr>
      <w:drawing>
        <wp:anchor distT="0" distB="0" distL="114300" distR="114300" simplePos="0" relativeHeight="251657728" behindDoc="1" locked="0" layoutInCell="1" allowOverlap="1">
          <wp:simplePos x="0" y="0"/>
          <wp:positionH relativeFrom="column">
            <wp:posOffset>-701040</wp:posOffset>
          </wp:positionH>
          <wp:positionV relativeFrom="paragraph">
            <wp:posOffset>327660</wp:posOffset>
          </wp:positionV>
          <wp:extent cx="2084705" cy="661670"/>
          <wp:effectExtent l="0" t="0" r="0" b="5080"/>
          <wp:wrapNone/>
          <wp:docPr id="3" name="Imagen 3" descr="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705" cy="661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E4145"/>
    <w:multiLevelType w:val="hybridMultilevel"/>
    <w:tmpl w:val="6992A41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85F7F63"/>
    <w:multiLevelType w:val="hybridMultilevel"/>
    <w:tmpl w:val="B80892A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5AA4467"/>
    <w:multiLevelType w:val="hybridMultilevel"/>
    <w:tmpl w:val="EE14372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CB03AD6"/>
    <w:multiLevelType w:val="hybridMultilevel"/>
    <w:tmpl w:val="1BE2096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FE12DC9"/>
    <w:multiLevelType w:val="hybridMultilevel"/>
    <w:tmpl w:val="CFEE930A"/>
    <w:lvl w:ilvl="0" w:tplc="09E84566">
      <w:numFmt w:val="bullet"/>
      <w:lvlText w:val=""/>
      <w:lvlJc w:val="left"/>
      <w:pPr>
        <w:ind w:left="720" w:hanging="360"/>
      </w:pPr>
      <w:rPr>
        <w:rFonts w:ascii="Symbol" w:eastAsia="Calibr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CE11EC"/>
    <w:multiLevelType w:val="hybridMultilevel"/>
    <w:tmpl w:val="CD7EF2B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ED52142"/>
    <w:multiLevelType w:val="hybridMultilevel"/>
    <w:tmpl w:val="1BE2096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4CD34A6"/>
    <w:multiLevelType w:val="hybridMultilevel"/>
    <w:tmpl w:val="457C04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CB32250"/>
    <w:multiLevelType w:val="hybridMultilevel"/>
    <w:tmpl w:val="CD7EF2B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6"/>
  </w:num>
  <w:num w:numId="5">
    <w:abstractNumId w:val="3"/>
  </w:num>
  <w:num w:numId="6">
    <w:abstractNumId w:val="0"/>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97F"/>
    <w:rsid w:val="00003E70"/>
    <w:rsid w:val="0004697F"/>
    <w:rsid w:val="00063455"/>
    <w:rsid w:val="000E3157"/>
    <w:rsid w:val="00131E3D"/>
    <w:rsid w:val="001E1141"/>
    <w:rsid w:val="001F7BD9"/>
    <w:rsid w:val="00284590"/>
    <w:rsid w:val="00285827"/>
    <w:rsid w:val="002F6A15"/>
    <w:rsid w:val="00301628"/>
    <w:rsid w:val="00327582"/>
    <w:rsid w:val="003347DA"/>
    <w:rsid w:val="0034546C"/>
    <w:rsid w:val="00373DFC"/>
    <w:rsid w:val="003E730A"/>
    <w:rsid w:val="004252AC"/>
    <w:rsid w:val="004370A1"/>
    <w:rsid w:val="0049061E"/>
    <w:rsid w:val="004B7A46"/>
    <w:rsid w:val="00533D00"/>
    <w:rsid w:val="00585DF3"/>
    <w:rsid w:val="005D16E9"/>
    <w:rsid w:val="005E6C27"/>
    <w:rsid w:val="00650FE0"/>
    <w:rsid w:val="007213EB"/>
    <w:rsid w:val="0073146D"/>
    <w:rsid w:val="007B228C"/>
    <w:rsid w:val="007C18AB"/>
    <w:rsid w:val="008252FF"/>
    <w:rsid w:val="00854E9F"/>
    <w:rsid w:val="008942DC"/>
    <w:rsid w:val="008A0A33"/>
    <w:rsid w:val="009A2B7A"/>
    <w:rsid w:val="00A470EF"/>
    <w:rsid w:val="00A55256"/>
    <w:rsid w:val="00A6582C"/>
    <w:rsid w:val="00A95972"/>
    <w:rsid w:val="00B10CB0"/>
    <w:rsid w:val="00B31B65"/>
    <w:rsid w:val="00B47F8B"/>
    <w:rsid w:val="00B519D2"/>
    <w:rsid w:val="00BB1732"/>
    <w:rsid w:val="00BF64D7"/>
    <w:rsid w:val="00C60B64"/>
    <w:rsid w:val="00CC07F1"/>
    <w:rsid w:val="00D64C6C"/>
    <w:rsid w:val="00D64F06"/>
    <w:rsid w:val="00E314AE"/>
    <w:rsid w:val="00E61A22"/>
    <w:rsid w:val="00E74244"/>
    <w:rsid w:val="00E855D4"/>
    <w:rsid w:val="00E86860"/>
    <w:rsid w:val="00EB23A0"/>
    <w:rsid w:val="00F10D10"/>
    <w:rsid w:val="00FD69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E3ECE"/>
  <w15:docId w15:val="{C94F6197-DD8C-4B1A-97C9-48E32DEC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B23A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07F1"/>
    <w:rPr>
      <w:rFonts w:ascii="Tahoma" w:hAnsi="Tahoma" w:cs="Tahoma"/>
      <w:sz w:val="16"/>
      <w:szCs w:val="16"/>
    </w:rPr>
  </w:style>
  <w:style w:type="character" w:customStyle="1" w:styleId="TextodegloboCar">
    <w:name w:val="Texto de globo Car"/>
    <w:basedOn w:val="Fuentedeprrafopredeter"/>
    <w:link w:val="Textodeglobo"/>
    <w:uiPriority w:val="99"/>
    <w:semiHidden/>
    <w:rsid w:val="00CC07F1"/>
    <w:rPr>
      <w:rFonts w:ascii="Tahoma" w:hAnsi="Tahoma" w:cs="Tahoma"/>
      <w:sz w:val="16"/>
      <w:szCs w:val="16"/>
    </w:rPr>
  </w:style>
  <w:style w:type="paragraph" w:styleId="Encabezado">
    <w:name w:val="header"/>
    <w:basedOn w:val="Normal"/>
    <w:link w:val="EncabezadoCar"/>
    <w:uiPriority w:val="99"/>
    <w:unhideWhenUsed/>
    <w:rsid w:val="00CC07F1"/>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CC07F1"/>
  </w:style>
  <w:style w:type="paragraph" w:styleId="Piedepgina">
    <w:name w:val="footer"/>
    <w:basedOn w:val="Normal"/>
    <w:link w:val="PiedepginaCar"/>
    <w:unhideWhenUsed/>
    <w:rsid w:val="00CC07F1"/>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CC07F1"/>
  </w:style>
  <w:style w:type="paragraph" w:styleId="NormalWeb">
    <w:name w:val="Normal (Web)"/>
    <w:basedOn w:val="Normal"/>
    <w:uiPriority w:val="99"/>
    <w:unhideWhenUsed/>
    <w:rsid w:val="00E61A22"/>
    <w:pPr>
      <w:spacing w:before="100" w:beforeAutospacing="1" w:after="100" w:afterAutospacing="1"/>
    </w:pPr>
    <w:rPr>
      <w:lang w:val="es-CO" w:eastAsia="es-CO"/>
    </w:rPr>
  </w:style>
  <w:style w:type="paragraph" w:styleId="Prrafodelista">
    <w:name w:val="List Paragraph"/>
    <w:basedOn w:val="Normal"/>
    <w:uiPriority w:val="34"/>
    <w:qFormat/>
    <w:rsid w:val="001F7BD9"/>
    <w:pPr>
      <w:ind w:left="720"/>
      <w:contextualSpacing/>
    </w:pPr>
    <w:rPr>
      <w:rFonts w:eastAsiaTheme="minorHAnsi"/>
      <w:lang w:val="es-CO" w:eastAsia="en-US"/>
    </w:rPr>
  </w:style>
  <w:style w:type="paragraph" w:customStyle="1" w:styleId="CuerpoA">
    <w:name w:val="Cuerpo A"/>
    <w:rsid w:val="0073146D"/>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s-ES_tradnl"/>
    </w:rPr>
  </w:style>
  <w:style w:type="character" w:customStyle="1" w:styleId="Ninguno">
    <w:name w:val="Ninguno"/>
    <w:rsid w:val="0073146D"/>
    <w:rPr>
      <w:lang w:val="es-ES_tradnl"/>
    </w:rPr>
  </w:style>
  <w:style w:type="character" w:styleId="Hipervnculo">
    <w:name w:val="Hyperlink"/>
    <w:basedOn w:val="Fuentedeprrafopredeter"/>
    <w:uiPriority w:val="99"/>
    <w:semiHidden/>
    <w:unhideWhenUsed/>
    <w:rsid w:val="00731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2472</Words>
  <Characters>13602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Universidad de Antioquia</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LauraMorenoPerez</dc:creator>
  <cp:lastModifiedBy>laura milena rendon valencia</cp:lastModifiedBy>
  <cp:revision>3</cp:revision>
  <cp:lastPrinted>2016-09-15T17:08:00Z</cp:lastPrinted>
  <dcterms:created xsi:type="dcterms:W3CDTF">2016-11-30T23:17:00Z</dcterms:created>
  <dcterms:modified xsi:type="dcterms:W3CDTF">2016-11-30T23:27:00Z</dcterms:modified>
</cp:coreProperties>
</file>