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 xml:space="preserve">Medellín, </w:t>
      </w:r>
      <w:r w:rsidR="00233EBD">
        <w:rPr>
          <w:rFonts w:ascii="Arial Narrow" w:hAnsi="Arial Narrow"/>
          <w:sz w:val="26"/>
          <w:szCs w:val="26"/>
        </w:rPr>
        <w:t>15 d</w:t>
      </w:r>
      <w:r w:rsidRPr="00743094">
        <w:rPr>
          <w:rFonts w:ascii="Arial Narrow" w:hAnsi="Arial Narrow"/>
          <w:sz w:val="26"/>
          <w:szCs w:val="26"/>
        </w:rPr>
        <w:t xml:space="preserve">e </w:t>
      </w:r>
      <w:r w:rsidR="000448F6" w:rsidRPr="00743094">
        <w:rPr>
          <w:rFonts w:ascii="Arial Narrow" w:hAnsi="Arial Narrow"/>
          <w:sz w:val="26"/>
          <w:szCs w:val="26"/>
        </w:rPr>
        <w:t xml:space="preserve">Febrero de </w:t>
      </w:r>
      <w:r w:rsidRPr="00743094">
        <w:rPr>
          <w:rFonts w:ascii="Arial Narrow" w:hAnsi="Arial Narrow"/>
          <w:sz w:val="26"/>
          <w:szCs w:val="26"/>
        </w:rPr>
        <w:t>201</w:t>
      </w:r>
      <w:r w:rsidR="000448F6" w:rsidRPr="00743094">
        <w:rPr>
          <w:rFonts w:ascii="Arial Narrow" w:hAnsi="Arial Narrow"/>
          <w:sz w:val="26"/>
          <w:szCs w:val="26"/>
        </w:rPr>
        <w:t>2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>Señores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 xml:space="preserve">REVISTA </w:t>
      </w:r>
      <w:r w:rsidR="000448F6" w:rsidRPr="00743094">
        <w:rPr>
          <w:rFonts w:ascii="Arial Narrow" w:hAnsi="Arial Narrow"/>
          <w:sz w:val="26"/>
          <w:szCs w:val="26"/>
          <w:lang w:val="es-CO"/>
        </w:rPr>
        <w:t>VITAE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 xml:space="preserve">Facultad </w:t>
      </w:r>
      <w:r w:rsidR="000448F6" w:rsidRPr="00743094">
        <w:rPr>
          <w:rFonts w:ascii="Arial Narrow" w:hAnsi="Arial Narrow"/>
          <w:sz w:val="26"/>
          <w:szCs w:val="26"/>
        </w:rPr>
        <w:t>de Química Farmacéutica</w:t>
      </w:r>
      <w:r w:rsidRPr="00743094">
        <w:rPr>
          <w:rFonts w:ascii="Arial Narrow" w:hAnsi="Arial Narrow"/>
          <w:sz w:val="26"/>
          <w:szCs w:val="26"/>
        </w:rPr>
        <w:t>.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>Asunto: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>Respuesta a comentarios de los evaluadores.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5651F2" w:rsidRDefault="009A5C25" w:rsidP="00743094">
      <w:pPr>
        <w:spacing w:after="0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  <w:lang w:val="es-CO"/>
        </w:rPr>
        <w:t>Atendiendo a la</w:t>
      </w:r>
      <w:r w:rsidR="002D4D43" w:rsidRPr="00743094">
        <w:rPr>
          <w:rFonts w:ascii="Arial Narrow" w:hAnsi="Arial Narrow"/>
          <w:sz w:val="26"/>
          <w:szCs w:val="26"/>
          <w:lang w:val="es-CO"/>
        </w:rPr>
        <w:t>s s</w:t>
      </w:r>
      <w:r>
        <w:rPr>
          <w:rFonts w:ascii="Arial Narrow" w:hAnsi="Arial Narrow"/>
          <w:sz w:val="26"/>
          <w:szCs w:val="26"/>
          <w:lang w:val="es-CO"/>
        </w:rPr>
        <w:t xml:space="preserve">ugerencias del primer evaluador </w:t>
      </w:r>
      <w:r w:rsidR="002D4D43" w:rsidRPr="00743094">
        <w:rPr>
          <w:rFonts w:ascii="Arial Narrow" w:hAnsi="Arial Narrow"/>
          <w:sz w:val="26"/>
          <w:szCs w:val="26"/>
          <w:lang w:val="es-CO"/>
        </w:rPr>
        <w:t>del artículo</w:t>
      </w:r>
      <w:r>
        <w:rPr>
          <w:rFonts w:ascii="Arial Narrow" w:hAnsi="Arial Narrow"/>
          <w:sz w:val="26"/>
          <w:szCs w:val="26"/>
          <w:lang w:val="es-CO"/>
        </w:rPr>
        <w:t xml:space="preserve"> titulado</w:t>
      </w:r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r w:rsidR="002D4D43" w:rsidRPr="00743094">
        <w:rPr>
          <w:rFonts w:ascii="Arial Narrow" w:hAnsi="Arial Narrow"/>
          <w:b/>
          <w:sz w:val="26"/>
          <w:szCs w:val="26"/>
          <w:lang w:val="es-CO"/>
        </w:rPr>
        <w:t>“</w:t>
      </w:r>
      <w:r w:rsidR="00893359" w:rsidRPr="00743094">
        <w:rPr>
          <w:rFonts w:ascii="Arial Narrow" w:hAnsi="Arial Narrow"/>
          <w:b/>
          <w:sz w:val="26"/>
          <w:szCs w:val="26"/>
          <w:lang w:val="es-CO"/>
        </w:rPr>
        <w:t>FARMACIA CLÍNICA, ATENCIÓN FARMACÉUTICA</w:t>
      </w:r>
      <w:r w:rsidR="00233EBD">
        <w:rPr>
          <w:rFonts w:ascii="Arial Narrow" w:hAnsi="Arial Narrow"/>
          <w:b/>
          <w:sz w:val="26"/>
          <w:szCs w:val="26"/>
          <w:lang w:val="es-CO"/>
        </w:rPr>
        <w:t xml:space="preserve"> </w:t>
      </w:r>
      <w:r w:rsidR="00893359" w:rsidRPr="00743094">
        <w:rPr>
          <w:rFonts w:ascii="Arial Narrow" w:hAnsi="Arial Narrow"/>
          <w:b/>
          <w:sz w:val="26"/>
          <w:szCs w:val="26"/>
          <w:lang w:val="es-CO"/>
        </w:rPr>
        <w:t>CONCEPTOS, FILOSOFÍA, PRÁCTICA PROFESIONAL Y SU APLICACIÓN EN EL CONTEXTO COLOMBIANO</w:t>
      </w:r>
      <w:r w:rsidR="002D4D43" w:rsidRPr="00743094">
        <w:rPr>
          <w:rFonts w:ascii="Arial Narrow" w:hAnsi="Arial Narrow"/>
          <w:b/>
          <w:sz w:val="26"/>
          <w:szCs w:val="26"/>
        </w:rPr>
        <w:t>”</w:t>
      </w:r>
      <w:r w:rsidR="005651F2" w:rsidRPr="00743094">
        <w:rPr>
          <w:rFonts w:ascii="Arial Narrow" w:hAnsi="Arial Narrow"/>
          <w:sz w:val="26"/>
          <w:szCs w:val="26"/>
        </w:rPr>
        <w:t xml:space="preserve">se hicieron las </w:t>
      </w:r>
      <w:r>
        <w:rPr>
          <w:rFonts w:ascii="Arial Narrow" w:hAnsi="Arial Narrow"/>
          <w:sz w:val="26"/>
          <w:szCs w:val="26"/>
        </w:rPr>
        <w:t>siguientes:</w:t>
      </w:r>
    </w:p>
    <w:p w:rsidR="00720EAA" w:rsidRPr="00743094" w:rsidRDefault="00720EAA" w:rsidP="00743094">
      <w:pPr>
        <w:spacing w:after="0"/>
        <w:jc w:val="both"/>
        <w:rPr>
          <w:rFonts w:ascii="Arial Narrow" w:hAnsi="Arial Narrow"/>
          <w:sz w:val="26"/>
          <w:szCs w:val="26"/>
        </w:rPr>
      </w:pPr>
    </w:p>
    <w:p w:rsidR="00D6061C" w:rsidRPr="00743094" w:rsidRDefault="009A5C25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124BB9">
        <w:rPr>
          <w:rFonts w:ascii="Arial Narrow" w:hAnsi="Arial Narrow"/>
          <w:b/>
          <w:sz w:val="26"/>
          <w:szCs w:val="26"/>
        </w:rPr>
        <w:t>P</w:t>
      </w:r>
      <w:r w:rsidR="00D6061C" w:rsidRPr="00124BB9">
        <w:rPr>
          <w:rFonts w:ascii="Arial Narrow" w:hAnsi="Arial Narrow"/>
          <w:b/>
          <w:sz w:val="26"/>
          <w:szCs w:val="26"/>
        </w:rPr>
        <w:t>ublicar el manuscrito simultáneamente en español</w:t>
      </w:r>
      <w:r>
        <w:rPr>
          <w:rFonts w:ascii="Arial Narrow" w:hAnsi="Arial Narrow"/>
          <w:sz w:val="26"/>
          <w:szCs w:val="26"/>
        </w:rPr>
        <w:t>:estamos de acuerdo en aceptar esta observación</w:t>
      </w:r>
      <w:r w:rsidR="00980827">
        <w:rPr>
          <w:rFonts w:ascii="Arial Narrow" w:hAnsi="Arial Narrow"/>
          <w:sz w:val="26"/>
          <w:szCs w:val="26"/>
        </w:rPr>
        <w:t>. S</w:t>
      </w:r>
      <w:r w:rsidR="00124BB9">
        <w:rPr>
          <w:rFonts w:ascii="Arial Narrow" w:hAnsi="Arial Narrow"/>
          <w:sz w:val="26"/>
          <w:szCs w:val="26"/>
        </w:rPr>
        <w:t>e realizó la consulta al</w:t>
      </w:r>
      <w:r w:rsidR="00233EBD">
        <w:rPr>
          <w:rFonts w:ascii="Arial Narrow" w:hAnsi="Arial Narrow"/>
          <w:sz w:val="26"/>
          <w:szCs w:val="26"/>
        </w:rPr>
        <w:t xml:space="preserve"> </w:t>
      </w:r>
      <w:r w:rsidR="00124BB9">
        <w:rPr>
          <w:rFonts w:ascii="Arial Narrow" w:hAnsi="Arial Narrow"/>
          <w:sz w:val="26"/>
          <w:szCs w:val="26"/>
        </w:rPr>
        <w:t>Comité Editorial de la R</w:t>
      </w:r>
      <w:r w:rsidR="00D6061C" w:rsidRPr="00743094">
        <w:rPr>
          <w:rFonts w:ascii="Arial Narrow" w:hAnsi="Arial Narrow"/>
          <w:sz w:val="26"/>
          <w:szCs w:val="26"/>
        </w:rPr>
        <w:t>evista</w:t>
      </w:r>
      <w:r w:rsidR="00124BB9">
        <w:rPr>
          <w:rFonts w:ascii="Arial Narrow" w:hAnsi="Arial Narrow"/>
          <w:sz w:val="26"/>
          <w:szCs w:val="26"/>
        </w:rPr>
        <w:t xml:space="preserve"> y ellos aceptaron en publicarla en ambos idiomas: inglés y español</w:t>
      </w:r>
      <w:r w:rsidR="004D35FB">
        <w:rPr>
          <w:rFonts w:ascii="Arial Narrow" w:hAnsi="Arial Narrow"/>
          <w:sz w:val="26"/>
          <w:szCs w:val="26"/>
        </w:rPr>
        <w:t>.</w:t>
      </w:r>
    </w:p>
    <w:p w:rsidR="00D343EA" w:rsidRPr="00743094" w:rsidRDefault="0027517C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124BB9">
        <w:rPr>
          <w:rFonts w:ascii="Arial Narrow" w:hAnsi="Arial Narrow"/>
          <w:b/>
          <w:sz w:val="26"/>
          <w:szCs w:val="26"/>
          <w:lang w:val="es-CO"/>
        </w:rPr>
        <w:t>La cantidad de referencias podría ser mayor:</w:t>
      </w:r>
      <w:r>
        <w:rPr>
          <w:rFonts w:ascii="Arial Narrow" w:hAnsi="Arial Narrow"/>
          <w:sz w:val="26"/>
          <w:szCs w:val="26"/>
          <w:lang w:val="es-CO"/>
        </w:rPr>
        <w:t xml:space="preserve"> estamos de acuerdo; </w:t>
      </w:r>
      <w:r w:rsidR="00124BB9">
        <w:rPr>
          <w:rFonts w:ascii="Arial Narrow" w:hAnsi="Arial Narrow"/>
          <w:sz w:val="26"/>
          <w:szCs w:val="26"/>
          <w:lang w:val="es-CO"/>
        </w:rPr>
        <w:t xml:space="preserve">con respecto a este ítem, habíamos confundido el límite mínimo como límite máximo. Se realizó la consulta y nos aclararon esta duda; por tanto, hemos aumentado el </w:t>
      </w:r>
      <w:r w:rsidR="001C7537">
        <w:rPr>
          <w:rFonts w:ascii="Arial Narrow" w:hAnsi="Arial Narrow"/>
          <w:sz w:val="26"/>
          <w:szCs w:val="26"/>
          <w:lang w:val="es-CO"/>
        </w:rPr>
        <w:t>número</w:t>
      </w:r>
      <w:r w:rsidR="00124BB9">
        <w:rPr>
          <w:rFonts w:ascii="Arial Narrow" w:hAnsi="Arial Narrow"/>
          <w:sz w:val="26"/>
          <w:szCs w:val="26"/>
          <w:lang w:val="es-CO"/>
        </w:rPr>
        <w:t xml:space="preserve"> de referencias bibliográficas a 56</w:t>
      </w:r>
      <w:r>
        <w:rPr>
          <w:rFonts w:ascii="Arial Narrow" w:hAnsi="Arial Narrow"/>
          <w:sz w:val="26"/>
          <w:szCs w:val="26"/>
          <w:lang w:val="es-CO"/>
        </w:rPr>
        <w:t>.</w:t>
      </w:r>
    </w:p>
    <w:p w:rsidR="007D2FC5" w:rsidRDefault="000D2DEE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 xml:space="preserve">Se complementa el apartado </w:t>
      </w:r>
      <w:r w:rsidR="00D272F6" w:rsidRPr="00743094">
        <w:rPr>
          <w:rFonts w:ascii="Arial Narrow" w:hAnsi="Arial Narrow"/>
          <w:sz w:val="26"/>
          <w:szCs w:val="26"/>
          <w:lang w:val="es-CO"/>
        </w:rPr>
        <w:t>6,2:</w:t>
      </w:r>
      <w:r w:rsidRPr="00743094">
        <w:rPr>
          <w:rFonts w:ascii="Arial Narrow" w:hAnsi="Arial Narrow"/>
          <w:sz w:val="26"/>
          <w:szCs w:val="26"/>
          <w:lang w:val="es-CO"/>
        </w:rPr>
        <w:t xml:space="preserve"> “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Challenges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>”</w:t>
      </w:r>
      <w:r w:rsidR="00641933" w:rsidRPr="00743094">
        <w:rPr>
          <w:rFonts w:ascii="Arial Narrow" w:hAnsi="Arial Narrow"/>
          <w:sz w:val="26"/>
          <w:szCs w:val="26"/>
          <w:lang w:val="es-CO"/>
        </w:rPr>
        <w:t xml:space="preserve"> resaltando el papel de la Universidad con la profesión farmacéutica.</w:t>
      </w:r>
    </w:p>
    <w:p w:rsidR="00E0468F" w:rsidRDefault="00E0468F" w:rsidP="00E0468F">
      <w:pPr>
        <w:pStyle w:val="Prrafodelista"/>
        <w:spacing w:after="0"/>
        <w:ind w:left="360"/>
        <w:jc w:val="both"/>
        <w:rPr>
          <w:rFonts w:ascii="Arial Narrow" w:hAnsi="Arial Narrow"/>
          <w:sz w:val="26"/>
          <w:szCs w:val="26"/>
          <w:lang w:val="es-CO"/>
        </w:rPr>
      </w:pPr>
    </w:p>
    <w:p w:rsidR="004606DB" w:rsidRPr="00E0468F" w:rsidRDefault="004606DB" w:rsidP="004606DB">
      <w:pPr>
        <w:pStyle w:val="Prrafodelista"/>
        <w:spacing w:after="0"/>
        <w:ind w:left="360"/>
        <w:jc w:val="both"/>
        <w:rPr>
          <w:rFonts w:ascii="Arial Narrow" w:hAnsi="Arial Narrow"/>
          <w:b/>
          <w:sz w:val="26"/>
          <w:szCs w:val="26"/>
          <w:lang w:val="es-CO"/>
        </w:rPr>
      </w:pPr>
      <w:r w:rsidRPr="00E0468F">
        <w:rPr>
          <w:rFonts w:ascii="Arial Narrow" w:hAnsi="Arial Narrow"/>
          <w:b/>
          <w:sz w:val="26"/>
          <w:szCs w:val="26"/>
          <w:lang w:val="es-CO"/>
        </w:rPr>
        <w:t xml:space="preserve">Modificaciones menores: </w:t>
      </w:r>
    </w:p>
    <w:p w:rsidR="00E0468F" w:rsidRDefault="00E0468F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t xml:space="preserve">Se modificó </w:t>
      </w:r>
      <w:r w:rsidR="009C7D09">
        <w:rPr>
          <w:rFonts w:ascii="Arial Narrow" w:hAnsi="Arial Narrow"/>
          <w:sz w:val="26"/>
          <w:szCs w:val="26"/>
          <w:lang w:val="es-CO"/>
        </w:rPr>
        <w:t xml:space="preserve">en todo el texto </w:t>
      </w:r>
      <w:r>
        <w:rPr>
          <w:rFonts w:ascii="Arial Narrow" w:hAnsi="Arial Narrow"/>
          <w:sz w:val="26"/>
          <w:szCs w:val="26"/>
          <w:lang w:val="es-CO"/>
        </w:rPr>
        <w:t>el término “</w:t>
      </w:r>
      <w:proofErr w:type="spellStart"/>
      <w:r>
        <w:rPr>
          <w:rFonts w:ascii="Arial Narrow" w:hAnsi="Arial Narrow"/>
          <w:sz w:val="26"/>
          <w:szCs w:val="26"/>
          <w:lang w:val="es-CO"/>
        </w:rPr>
        <w:t>dispensation</w:t>
      </w:r>
      <w:proofErr w:type="spellEnd"/>
      <w:r>
        <w:rPr>
          <w:rFonts w:ascii="Arial Narrow" w:hAnsi="Arial Narrow"/>
          <w:sz w:val="26"/>
          <w:szCs w:val="26"/>
          <w:lang w:val="es-CO"/>
        </w:rPr>
        <w:t>” por “</w:t>
      </w:r>
      <w:proofErr w:type="spellStart"/>
      <w:r>
        <w:rPr>
          <w:rFonts w:ascii="Arial Narrow" w:hAnsi="Arial Narrow"/>
          <w:sz w:val="26"/>
          <w:szCs w:val="26"/>
          <w:lang w:val="es-CO"/>
        </w:rPr>
        <w:t>di</w:t>
      </w:r>
      <w:r w:rsidRPr="00E0468F">
        <w:rPr>
          <w:rFonts w:ascii="Arial Narrow" w:hAnsi="Arial Narrow"/>
          <w:sz w:val="26"/>
          <w:szCs w:val="26"/>
          <w:lang w:val="es-CO"/>
        </w:rPr>
        <w:t>spensing</w:t>
      </w:r>
      <w:proofErr w:type="spellEnd"/>
      <w:r>
        <w:rPr>
          <w:rFonts w:ascii="Arial Narrow" w:hAnsi="Arial Narrow"/>
          <w:sz w:val="26"/>
          <w:szCs w:val="26"/>
          <w:lang w:val="es-CO"/>
        </w:rPr>
        <w:t>”.</w:t>
      </w:r>
    </w:p>
    <w:p w:rsidR="009C7D09" w:rsidRDefault="009C7D09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t>Se modificó el término: LIMITABA A (resumen en español, pagina 2).</w:t>
      </w:r>
    </w:p>
    <w:p w:rsidR="000D2DEE" w:rsidRPr="00743094" w:rsidRDefault="003D1007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>“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Evolution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stages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 xml:space="preserve"> in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the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pharmacist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profession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 xml:space="preserve">” comienza </w:t>
      </w:r>
      <w:r w:rsidR="00362732" w:rsidRPr="00743094">
        <w:rPr>
          <w:rFonts w:ascii="Arial Narrow" w:hAnsi="Arial Narrow"/>
          <w:sz w:val="26"/>
          <w:szCs w:val="26"/>
          <w:lang w:val="es-CO"/>
        </w:rPr>
        <w:t>la numeración en 2, puesto que la Introducción</w:t>
      </w:r>
      <w:r w:rsidR="00CA5349" w:rsidRPr="00743094">
        <w:rPr>
          <w:rFonts w:ascii="Arial Narrow" w:hAnsi="Arial Narrow"/>
          <w:sz w:val="26"/>
          <w:szCs w:val="26"/>
          <w:lang w:val="es-CO"/>
        </w:rPr>
        <w:t xml:space="preserve"> corresponde al </w:t>
      </w:r>
      <w:r w:rsidR="00362732" w:rsidRPr="00743094">
        <w:rPr>
          <w:rFonts w:ascii="Arial Narrow" w:hAnsi="Arial Narrow"/>
          <w:sz w:val="26"/>
          <w:szCs w:val="26"/>
          <w:lang w:val="es-CO"/>
        </w:rPr>
        <w:t>número 1.</w:t>
      </w:r>
      <w:r w:rsidR="00C20445">
        <w:rPr>
          <w:rFonts w:ascii="Arial Narrow" w:hAnsi="Arial Narrow"/>
          <w:sz w:val="26"/>
          <w:szCs w:val="26"/>
          <w:lang w:val="es-CO"/>
        </w:rPr>
        <w:t xml:space="preserve"> Probablemente, no se había enumerado correctamente el apartado de “Introducción” con el número 1.</w:t>
      </w:r>
    </w:p>
    <w:p w:rsidR="00362732" w:rsidRPr="00743094" w:rsidRDefault="00641933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>Se introdujo la definición de “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Drug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Related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Problems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>” en el apart</w:t>
      </w:r>
      <w:r w:rsidR="00743094" w:rsidRPr="00743094">
        <w:rPr>
          <w:rFonts w:ascii="Arial Narrow" w:hAnsi="Arial Narrow"/>
          <w:sz w:val="26"/>
          <w:szCs w:val="26"/>
          <w:lang w:val="es-CO"/>
        </w:rPr>
        <w:t>ad</w:t>
      </w:r>
      <w:r w:rsidRPr="00743094">
        <w:rPr>
          <w:rFonts w:ascii="Arial Narrow" w:hAnsi="Arial Narrow"/>
          <w:sz w:val="26"/>
          <w:szCs w:val="26"/>
          <w:lang w:val="es-CO"/>
        </w:rPr>
        <w:t xml:space="preserve">o de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Phar</w:t>
      </w:r>
      <w:r w:rsidR="00743094" w:rsidRPr="00743094">
        <w:rPr>
          <w:rFonts w:ascii="Arial Narrow" w:hAnsi="Arial Narrow"/>
          <w:sz w:val="26"/>
          <w:szCs w:val="26"/>
          <w:lang w:val="es-CO"/>
        </w:rPr>
        <w:t>ma</w:t>
      </w:r>
      <w:r w:rsidRPr="00743094">
        <w:rPr>
          <w:rFonts w:ascii="Arial Narrow" w:hAnsi="Arial Narrow"/>
          <w:sz w:val="26"/>
          <w:szCs w:val="26"/>
          <w:lang w:val="es-CO"/>
        </w:rPr>
        <w:t>cotherapy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failures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>.</w:t>
      </w:r>
    </w:p>
    <w:p w:rsidR="00D9698D" w:rsidRDefault="00D9698D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t>La referencia correspondiente a la página 7, línea 134 corresponde a la bibliografía 14, citada en el renglón 139 de la misma de la misma página.</w:t>
      </w:r>
    </w:p>
    <w:p w:rsidR="007F16C5" w:rsidRPr="001C7537" w:rsidRDefault="00AA5CF4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1C7537">
        <w:rPr>
          <w:rFonts w:ascii="Arial Narrow" w:hAnsi="Arial Narrow"/>
          <w:sz w:val="26"/>
          <w:szCs w:val="26"/>
          <w:lang w:val="es-CO"/>
        </w:rPr>
        <w:t>Se incluyeron las bibliografía</w:t>
      </w:r>
      <w:r w:rsidR="00CE0E39" w:rsidRPr="001C7537">
        <w:rPr>
          <w:rFonts w:ascii="Arial Narrow" w:hAnsi="Arial Narrow"/>
          <w:sz w:val="26"/>
          <w:szCs w:val="26"/>
          <w:lang w:val="es-CO"/>
        </w:rPr>
        <w:t>s</w:t>
      </w:r>
      <w:r w:rsidRPr="001C7537">
        <w:rPr>
          <w:rFonts w:ascii="Arial Narrow" w:hAnsi="Arial Narrow"/>
          <w:sz w:val="26"/>
          <w:szCs w:val="26"/>
          <w:lang w:val="es-CO"/>
        </w:rPr>
        <w:t xml:space="preserve"> correspondientes a la página 9, líneas 158 y 165.</w:t>
      </w:r>
    </w:p>
    <w:p w:rsidR="00743094" w:rsidRPr="00743094" w:rsidRDefault="00967457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t>Se tradujo la sigla correspondiente al inglés del término: empresas promotoras de salud (EPS). Además, s</w:t>
      </w:r>
      <w:r w:rsidR="00743094" w:rsidRPr="00743094">
        <w:rPr>
          <w:rFonts w:ascii="Arial Narrow" w:hAnsi="Arial Narrow"/>
          <w:sz w:val="26"/>
          <w:szCs w:val="26"/>
          <w:lang w:val="es-CO"/>
        </w:rPr>
        <w:t xml:space="preserve">e unificó la denominación por Social Security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Health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Provider</w:t>
      </w:r>
      <w:proofErr w:type="spellEnd"/>
      <w:r w:rsidR="00743094" w:rsidRPr="00743094">
        <w:rPr>
          <w:rFonts w:ascii="Arial Narrow" w:hAnsi="Arial Narrow"/>
          <w:sz w:val="26"/>
          <w:szCs w:val="26"/>
          <w:lang w:val="es-CO"/>
        </w:rPr>
        <w:t xml:space="preserve"> (SSHP).</w:t>
      </w:r>
    </w:p>
    <w:p w:rsidR="00743094" w:rsidRPr="00743094" w:rsidRDefault="00E31E81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lastRenderedPageBreak/>
        <w:t>En la figura 1, s</w:t>
      </w:r>
      <w:r w:rsidR="00743094" w:rsidRPr="00743094">
        <w:rPr>
          <w:rFonts w:ascii="Arial Narrow" w:hAnsi="Arial Narrow"/>
          <w:sz w:val="26"/>
          <w:szCs w:val="26"/>
          <w:lang w:val="es-CO"/>
        </w:rPr>
        <w:t>e corrigió el término “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SanEdu</w:t>
      </w:r>
      <w:proofErr w:type="spellEnd"/>
      <w:r w:rsidR="00743094" w:rsidRPr="00743094">
        <w:rPr>
          <w:rFonts w:ascii="Arial Narrow" w:hAnsi="Arial Narrow"/>
          <w:sz w:val="26"/>
          <w:szCs w:val="26"/>
          <w:lang w:val="es-CO"/>
        </w:rPr>
        <w:t xml:space="preserve">: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Sanitary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education</w:t>
      </w:r>
      <w:proofErr w:type="spellEnd"/>
      <w:r w:rsidR="00743094" w:rsidRPr="00743094">
        <w:rPr>
          <w:rFonts w:ascii="Arial Narrow" w:hAnsi="Arial Narrow"/>
          <w:sz w:val="26"/>
          <w:szCs w:val="26"/>
          <w:lang w:val="es-CO"/>
        </w:rPr>
        <w:t>” por “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HelEdu</w:t>
      </w:r>
      <w:proofErr w:type="spellEnd"/>
      <w:r w:rsidR="00743094" w:rsidRPr="00743094">
        <w:rPr>
          <w:rFonts w:ascii="Arial Narrow" w:hAnsi="Arial Narrow"/>
          <w:sz w:val="26"/>
          <w:szCs w:val="26"/>
          <w:lang w:val="es-CO"/>
        </w:rPr>
        <w:t>:</w:t>
      </w:r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Health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743094">
        <w:rPr>
          <w:rFonts w:ascii="Arial Narrow" w:hAnsi="Arial Narrow"/>
          <w:sz w:val="26"/>
          <w:szCs w:val="26"/>
          <w:lang w:val="es-CO"/>
        </w:rPr>
        <w:t>Education</w:t>
      </w:r>
      <w:proofErr w:type="spellEnd"/>
      <w:r w:rsidR="00743094" w:rsidRPr="00743094">
        <w:rPr>
          <w:rFonts w:ascii="Arial Narrow" w:hAnsi="Arial Narrow"/>
          <w:sz w:val="26"/>
          <w:szCs w:val="26"/>
          <w:lang w:val="es-CO"/>
        </w:rPr>
        <w:t xml:space="preserve">” </w:t>
      </w:r>
    </w:p>
    <w:p w:rsidR="00743094" w:rsidRPr="00E31E81" w:rsidRDefault="002A4BA7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E31E81">
        <w:rPr>
          <w:rFonts w:ascii="Arial Narrow" w:hAnsi="Arial Narrow"/>
          <w:sz w:val="26"/>
          <w:szCs w:val="26"/>
          <w:lang w:val="es-CO"/>
        </w:rPr>
        <w:t>En la tabla 4</w:t>
      </w:r>
      <w:r w:rsidR="00E31E81">
        <w:rPr>
          <w:rFonts w:ascii="Arial Narrow" w:hAnsi="Arial Narrow"/>
          <w:sz w:val="26"/>
          <w:szCs w:val="26"/>
          <w:lang w:val="es-CO"/>
        </w:rPr>
        <w:t>,s</w:t>
      </w:r>
      <w:r w:rsidR="00743094" w:rsidRPr="00E31E81">
        <w:rPr>
          <w:rFonts w:ascii="Arial Narrow" w:hAnsi="Arial Narrow"/>
          <w:sz w:val="26"/>
          <w:szCs w:val="26"/>
          <w:lang w:val="es-CO"/>
        </w:rPr>
        <w:t>e corrigió la nota al pie por “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The</w:t>
      </w:r>
      <w:proofErr w:type="spellEnd"/>
      <w:r w:rsidR="00743094" w:rsidRPr="00E31E81">
        <w:rPr>
          <w:rFonts w:ascii="Arial Narrow" w:hAnsi="Arial Narrow"/>
          <w:sz w:val="26"/>
          <w:szCs w:val="26"/>
          <w:lang w:val="es-CO"/>
        </w:rPr>
        <w:t xml:space="preserve"> Role of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the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Pharmacist</w:t>
      </w:r>
      <w:proofErr w:type="spellEnd"/>
      <w:r w:rsidR="00743094" w:rsidRPr="00E31E81">
        <w:rPr>
          <w:rFonts w:ascii="Arial Narrow" w:hAnsi="Arial Narrow"/>
          <w:sz w:val="26"/>
          <w:szCs w:val="26"/>
          <w:lang w:val="es-CO"/>
        </w:rPr>
        <w:t xml:space="preserve"> in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the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Health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Care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="00743094" w:rsidRPr="00E31E81">
        <w:rPr>
          <w:rFonts w:ascii="Arial Narrow" w:hAnsi="Arial Narrow"/>
          <w:sz w:val="26"/>
          <w:szCs w:val="26"/>
          <w:lang w:val="es-CO"/>
        </w:rPr>
        <w:t>System</w:t>
      </w:r>
      <w:proofErr w:type="spellEnd"/>
      <w:r w:rsidR="00743094" w:rsidRPr="00E31E81">
        <w:rPr>
          <w:rFonts w:ascii="Arial Narrow" w:hAnsi="Arial Narrow"/>
          <w:sz w:val="26"/>
          <w:szCs w:val="26"/>
          <w:lang w:val="es-CO"/>
        </w:rPr>
        <w:t>”</w:t>
      </w:r>
    </w:p>
    <w:p w:rsidR="00743094" w:rsidRPr="00743094" w:rsidRDefault="00743094" w:rsidP="00743094">
      <w:pPr>
        <w:pStyle w:val="Prrafodelista"/>
        <w:numPr>
          <w:ilvl w:val="0"/>
          <w:numId w:val="2"/>
        </w:num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 w:rsidRPr="00743094">
        <w:rPr>
          <w:rFonts w:ascii="Arial Narrow" w:hAnsi="Arial Narrow"/>
          <w:sz w:val="26"/>
          <w:szCs w:val="26"/>
          <w:lang w:val="es-CO"/>
        </w:rPr>
        <w:t>Se corrigió el término “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Pharmacist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auxiliary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>” por el término “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Pharmacy</w:t>
      </w:r>
      <w:proofErr w:type="spellEnd"/>
      <w:r w:rsidR="00233EBD">
        <w:rPr>
          <w:rFonts w:ascii="Arial Narrow" w:hAnsi="Arial Narrow"/>
          <w:sz w:val="26"/>
          <w:szCs w:val="26"/>
          <w:lang w:val="es-CO"/>
        </w:rPr>
        <w:t xml:space="preserve"> </w:t>
      </w:r>
      <w:proofErr w:type="spellStart"/>
      <w:r w:rsidRPr="00743094">
        <w:rPr>
          <w:rFonts w:ascii="Arial Narrow" w:hAnsi="Arial Narrow"/>
          <w:sz w:val="26"/>
          <w:szCs w:val="26"/>
          <w:lang w:val="es-CO"/>
        </w:rPr>
        <w:t>technician</w:t>
      </w:r>
      <w:proofErr w:type="spellEnd"/>
      <w:r w:rsidRPr="00743094">
        <w:rPr>
          <w:rFonts w:ascii="Arial Narrow" w:hAnsi="Arial Narrow"/>
          <w:sz w:val="26"/>
          <w:szCs w:val="26"/>
          <w:lang w:val="es-CO"/>
        </w:rPr>
        <w:t xml:space="preserve">” </w:t>
      </w:r>
    </w:p>
    <w:p w:rsidR="006A49B1" w:rsidRPr="00743094" w:rsidRDefault="006A49B1" w:rsidP="00743094">
      <w:p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</w:p>
    <w:p w:rsidR="006A49B1" w:rsidRPr="00743094" w:rsidRDefault="00E751F2" w:rsidP="00743094">
      <w:p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  <w:r>
        <w:rPr>
          <w:rFonts w:ascii="Arial Narrow" w:hAnsi="Arial Narrow"/>
          <w:sz w:val="26"/>
          <w:szCs w:val="26"/>
          <w:lang w:val="es-CO"/>
        </w:rPr>
        <w:t xml:space="preserve">Agradecemos al autor las sugerencias realizadas ya que enriquecieron esta humilde contribución. </w:t>
      </w:r>
      <w:r w:rsidR="006A49B1" w:rsidRPr="00743094">
        <w:rPr>
          <w:rFonts w:ascii="Arial Narrow" w:hAnsi="Arial Narrow"/>
          <w:sz w:val="26"/>
          <w:szCs w:val="26"/>
          <w:lang w:val="es-CO"/>
        </w:rPr>
        <w:t>Esperamos llenar sus expectativas</w:t>
      </w:r>
      <w:r>
        <w:rPr>
          <w:rFonts w:ascii="Arial Narrow" w:hAnsi="Arial Narrow"/>
          <w:sz w:val="26"/>
          <w:szCs w:val="26"/>
          <w:lang w:val="es-CO"/>
        </w:rPr>
        <w:t>.</w:t>
      </w:r>
      <w:bookmarkStart w:id="0" w:name="_GoBack"/>
      <w:bookmarkEnd w:id="0"/>
    </w:p>
    <w:p w:rsidR="005651F2" w:rsidRPr="00743094" w:rsidRDefault="005651F2" w:rsidP="00743094">
      <w:pPr>
        <w:spacing w:after="0"/>
        <w:rPr>
          <w:rFonts w:ascii="Arial Narrow" w:hAnsi="Arial Narrow"/>
          <w:sz w:val="26"/>
          <w:szCs w:val="26"/>
        </w:rPr>
      </w:pPr>
    </w:p>
    <w:p w:rsidR="007B7F6D" w:rsidRPr="00743094" w:rsidRDefault="007B7F6D" w:rsidP="00743094">
      <w:pPr>
        <w:spacing w:after="0"/>
        <w:rPr>
          <w:rFonts w:ascii="Arial Narrow" w:hAnsi="Arial Narrow"/>
          <w:sz w:val="26"/>
          <w:szCs w:val="26"/>
        </w:rPr>
      </w:pPr>
    </w:p>
    <w:p w:rsidR="005651F2" w:rsidRPr="00743094" w:rsidRDefault="005651F2" w:rsidP="00743094">
      <w:pPr>
        <w:spacing w:after="0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>Atentamente,</w:t>
      </w:r>
    </w:p>
    <w:p w:rsidR="005651F2" w:rsidRPr="00743094" w:rsidRDefault="005651F2" w:rsidP="00743094">
      <w:pPr>
        <w:spacing w:after="0"/>
        <w:rPr>
          <w:rFonts w:ascii="Arial Narrow" w:hAnsi="Arial Narrow"/>
          <w:sz w:val="26"/>
          <w:szCs w:val="26"/>
        </w:rPr>
      </w:pPr>
      <w:r w:rsidRPr="00743094">
        <w:rPr>
          <w:rFonts w:ascii="Arial Narrow" w:hAnsi="Arial Narrow"/>
          <w:sz w:val="26"/>
          <w:szCs w:val="26"/>
        </w:rPr>
        <w:t>LOS AUTORES.</w:t>
      </w:r>
    </w:p>
    <w:p w:rsidR="005651F2" w:rsidRPr="00743094" w:rsidRDefault="005651F2" w:rsidP="00743094">
      <w:pPr>
        <w:spacing w:after="0"/>
        <w:jc w:val="both"/>
        <w:rPr>
          <w:rFonts w:ascii="Arial Narrow" w:hAnsi="Arial Narrow"/>
          <w:sz w:val="26"/>
          <w:szCs w:val="26"/>
          <w:lang w:val="es-CO"/>
        </w:rPr>
      </w:pPr>
    </w:p>
    <w:sectPr w:rsidR="005651F2" w:rsidRPr="00743094" w:rsidSect="003711C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C056F"/>
    <w:multiLevelType w:val="hybridMultilevel"/>
    <w:tmpl w:val="0A582A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BA23E2"/>
    <w:multiLevelType w:val="hybridMultilevel"/>
    <w:tmpl w:val="488E020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7"/>
  <w:proofState w:spelling="clean" w:grammar="clean"/>
  <w:defaultTabStop w:val="708"/>
  <w:hyphenationZone w:val="425"/>
  <w:characterSpacingControl w:val="doNotCompress"/>
  <w:compat/>
  <w:rsids>
    <w:rsidRoot w:val="002D4D43"/>
    <w:rsid w:val="0003104D"/>
    <w:rsid w:val="000448F6"/>
    <w:rsid w:val="00072E1B"/>
    <w:rsid w:val="000D2DEE"/>
    <w:rsid w:val="000E4F71"/>
    <w:rsid w:val="000E53F3"/>
    <w:rsid w:val="00124BB9"/>
    <w:rsid w:val="00127EAF"/>
    <w:rsid w:val="001C7537"/>
    <w:rsid w:val="00233EBD"/>
    <w:rsid w:val="0027517C"/>
    <w:rsid w:val="002A4BA7"/>
    <w:rsid w:val="002C6788"/>
    <w:rsid w:val="002D4D43"/>
    <w:rsid w:val="00362732"/>
    <w:rsid w:val="003711C6"/>
    <w:rsid w:val="003A576B"/>
    <w:rsid w:val="003D1007"/>
    <w:rsid w:val="004606DB"/>
    <w:rsid w:val="004D35FB"/>
    <w:rsid w:val="005651F2"/>
    <w:rsid w:val="00641933"/>
    <w:rsid w:val="006949CE"/>
    <w:rsid w:val="006A49B1"/>
    <w:rsid w:val="00720EAA"/>
    <w:rsid w:val="007244B6"/>
    <w:rsid w:val="00743094"/>
    <w:rsid w:val="007B7F6D"/>
    <w:rsid w:val="007D2FC5"/>
    <w:rsid w:val="007F16C5"/>
    <w:rsid w:val="00820511"/>
    <w:rsid w:val="00893359"/>
    <w:rsid w:val="008A68A3"/>
    <w:rsid w:val="00967457"/>
    <w:rsid w:val="00980827"/>
    <w:rsid w:val="009A5C25"/>
    <w:rsid w:val="009C7D09"/>
    <w:rsid w:val="00A06BA3"/>
    <w:rsid w:val="00AA2C48"/>
    <w:rsid w:val="00AA5CF4"/>
    <w:rsid w:val="00AB13A3"/>
    <w:rsid w:val="00AF2F51"/>
    <w:rsid w:val="00B57936"/>
    <w:rsid w:val="00C20445"/>
    <w:rsid w:val="00CA5349"/>
    <w:rsid w:val="00CE0E39"/>
    <w:rsid w:val="00D272F6"/>
    <w:rsid w:val="00D343EA"/>
    <w:rsid w:val="00D6061C"/>
    <w:rsid w:val="00D63F4E"/>
    <w:rsid w:val="00D9698D"/>
    <w:rsid w:val="00DF7189"/>
    <w:rsid w:val="00E0468F"/>
    <w:rsid w:val="00E052C8"/>
    <w:rsid w:val="00E31E81"/>
    <w:rsid w:val="00E751F2"/>
    <w:rsid w:val="00EB5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1C6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D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D4D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Salazar</dc:creator>
  <cp:lastModifiedBy>TABUDEA</cp:lastModifiedBy>
  <cp:revision>2</cp:revision>
  <dcterms:created xsi:type="dcterms:W3CDTF">2012-02-15T21:26:00Z</dcterms:created>
  <dcterms:modified xsi:type="dcterms:W3CDTF">2012-02-15T21:26:00Z</dcterms:modified>
</cp:coreProperties>
</file>